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07DF" w14:textId="77777777" w:rsidR="00006528" w:rsidRDefault="00006528" w:rsidP="00D673EF">
      <w:pPr>
        <w:pStyle w:val="Default"/>
      </w:pPr>
    </w:p>
    <w:p w14:paraId="55BF056C" w14:textId="77777777" w:rsidR="00006528" w:rsidRDefault="00006528">
      <w:pPr>
        <w:pStyle w:val="Default"/>
        <w:rPr>
          <w:rFonts w:ascii="Times New Roman" w:hAnsi="Times New Roman" w:cs="Times New Roman"/>
          <w:sz w:val="20"/>
          <w:szCs w:val="20"/>
        </w:rPr>
      </w:pPr>
    </w:p>
    <w:p w14:paraId="1C3FF38D" w14:textId="5D2E9F21" w:rsidR="00006528" w:rsidRDefault="008826E3">
      <w:pPr>
        <w:jc w:val="center"/>
        <w:rPr>
          <w:b/>
          <w:sz w:val="20"/>
        </w:rPr>
      </w:pPr>
      <w:r>
        <w:rPr>
          <w:b/>
          <w:sz w:val="20"/>
        </w:rPr>
        <w:t>ADATKEZELÉSI TÁJÉKOZTATÓ</w:t>
      </w:r>
    </w:p>
    <w:p w14:paraId="48CEDAE9" w14:textId="77777777" w:rsidR="00006528" w:rsidRDefault="00006528">
      <w:pPr>
        <w:jc w:val="both"/>
        <w:rPr>
          <w:b/>
          <w:bCs/>
          <w:sz w:val="20"/>
        </w:rPr>
      </w:pPr>
    </w:p>
    <w:p w14:paraId="42B106AB" w14:textId="45E26A7A" w:rsidR="00006528" w:rsidRDefault="008826E3">
      <w:pPr>
        <w:jc w:val="both"/>
        <w:rPr>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xml:space="preserve">) 12. cikk (1) bekezdése értelmében az Eötvös Loránd Tudományegyetem tájékoztatja az érintettet </w:t>
      </w:r>
      <w:r w:rsidR="00CB3F56">
        <w:rPr>
          <w:sz w:val="20"/>
        </w:rPr>
        <w:t xml:space="preserve">az </w:t>
      </w:r>
      <w:r w:rsidR="00DC3FE8">
        <w:rPr>
          <w:sz w:val="20"/>
        </w:rPr>
        <w:t xml:space="preserve">2022. október 13-án zajló </w:t>
      </w:r>
      <w:r w:rsidR="00CB3F56">
        <w:rPr>
          <w:sz w:val="20"/>
        </w:rPr>
        <w:t>ELTE TTK I. Innovációs Piac és Karriernap elnevezésű rendezvényén</w:t>
      </w:r>
      <w:r>
        <w:rPr>
          <w:i/>
          <w:sz w:val="20"/>
        </w:rPr>
        <w:t xml:space="preserve"> </w:t>
      </w:r>
      <w:r>
        <w:rPr>
          <w:sz w:val="20"/>
        </w:rPr>
        <w:t>történő adatkezelésről.</w:t>
      </w:r>
    </w:p>
    <w:p w14:paraId="1C59A8C9" w14:textId="77777777" w:rsidR="00006528" w:rsidRDefault="00006528">
      <w:pPr>
        <w:jc w:val="both"/>
        <w:rPr>
          <w:b/>
          <w:bCs/>
          <w:sz w:val="20"/>
        </w:rPr>
      </w:pPr>
    </w:p>
    <w:p w14:paraId="36ACF89E" w14:textId="77777777" w:rsidR="00006528" w:rsidRDefault="008826E3">
      <w:pPr>
        <w:jc w:val="both"/>
        <w:rPr>
          <w:b/>
          <w:sz w:val="20"/>
          <w:u w:val="single"/>
        </w:rPr>
      </w:pPr>
      <w:r>
        <w:rPr>
          <w:b/>
          <w:sz w:val="20"/>
          <w:u w:val="single"/>
        </w:rPr>
        <w:t>Ki lesz az Ön adatainak kezelésére/feldolgozására feljogosítva?</w:t>
      </w:r>
    </w:p>
    <w:p w14:paraId="24CA97D2" w14:textId="3A78CD4C" w:rsidR="00006528" w:rsidRDefault="008826E3">
      <w:pPr>
        <w:jc w:val="both"/>
        <w:rPr>
          <w:b/>
          <w:sz w:val="20"/>
        </w:rPr>
      </w:pPr>
      <w:r>
        <w:rPr>
          <w:b/>
          <w:sz w:val="20"/>
        </w:rPr>
        <w:t xml:space="preserve">Adatkezelő: </w:t>
      </w:r>
    </w:p>
    <w:p w14:paraId="0B2F25A4" w14:textId="77777777" w:rsidR="00006528" w:rsidRDefault="008826E3">
      <w:pPr>
        <w:jc w:val="both"/>
        <w:rPr>
          <w:b/>
          <w:sz w:val="20"/>
        </w:rPr>
      </w:pPr>
      <w:r>
        <w:rPr>
          <w:b/>
          <w:sz w:val="20"/>
        </w:rPr>
        <w:t>Eötvös Loránd Tudományegyetem</w:t>
      </w:r>
    </w:p>
    <w:p w14:paraId="2AC3A998" w14:textId="77777777" w:rsidR="00006528" w:rsidRDefault="008826E3">
      <w:pPr>
        <w:jc w:val="both"/>
        <w:rPr>
          <w:sz w:val="20"/>
        </w:rPr>
      </w:pPr>
      <w:r>
        <w:rPr>
          <w:sz w:val="20"/>
        </w:rPr>
        <w:t>1053 Budapest, Egyetem tér 1-3.</w:t>
      </w:r>
    </w:p>
    <w:p w14:paraId="2F4DFBB8" w14:textId="44CA6A59" w:rsidR="00006528" w:rsidRDefault="008826E3">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Felelős szervezeti egység: </w:t>
      </w:r>
      <w:r w:rsidR="00CB3F56">
        <w:rPr>
          <w:rFonts w:ascii="Times New Roman" w:hAnsi="Times New Roman"/>
          <w:sz w:val="20"/>
          <w:szCs w:val="20"/>
        </w:rPr>
        <w:t>ELTE TTK Biológiai Intézet</w:t>
      </w:r>
    </w:p>
    <w:p w14:paraId="5DBE90F7" w14:textId="20D28986" w:rsidR="00006528" w:rsidRDefault="008826E3">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Címe:</w:t>
      </w:r>
      <w:r w:rsidR="00CB3F56">
        <w:rPr>
          <w:rFonts w:ascii="Times New Roman" w:hAnsi="Times New Roman"/>
          <w:sz w:val="20"/>
          <w:szCs w:val="20"/>
        </w:rPr>
        <w:t xml:space="preserve"> 1117, Budapest Pázmány Péter sétány 1/A</w:t>
      </w:r>
    </w:p>
    <w:p w14:paraId="72CC4CBD" w14:textId="09AF37F3" w:rsidR="00006528" w:rsidRDefault="008826E3">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Képviselője: </w:t>
      </w:r>
      <w:r w:rsidR="00CB3F56">
        <w:rPr>
          <w:rFonts w:ascii="Times New Roman" w:hAnsi="Times New Roman"/>
          <w:sz w:val="20"/>
          <w:szCs w:val="20"/>
        </w:rPr>
        <w:t>Miklósi Ádám, intézetigazgató</w:t>
      </w:r>
    </w:p>
    <w:p w14:paraId="22A8D5EA" w14:textId="3BF510BE" w:rsidR="00006528" w:rsidRDefault="008826E3">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Kapcsolattartó neve és elérhetősége (telefon, e-mail):</w:t>
      </w:r>
      <w:r w:rsidR="00CB3F56">
        <w:rPr>
          <w:rFonts w:ascii="Times New Roman" w:hAnsi="Times New Roman"/>
          <w:sz w:val="20"/>
          <w:szCs w:val="20"/>
        </w:rPr>
        <w:t xml:space="preserve"> Bőhm Sára, +3620521045, sara.bohm@ttk.elte.hu</w:t>
      </w:r>
    </w:p>
    <w:p w14:paraId="4223312C" w14:textId="77777777" w:rsidR="00006528" w:rsidRDefault="00006528">
      <w:pPr>
        <w:pStyle w:val="Listaszerbekezds"/>
        <w:spacing w:after="0" w:line="240" w:lineRule="auto"/>
        <w:ind w:left="142"/>
        <w:jc w:val="both"/>
        <w:rPr>
          <w:rFonts w:ascii="Times New Roman" w:hAnsi="Times New Roman"/>
          <w:sz w:val="20"/>
          <w:szCs w:val="20"/>
        </w:rPr>
      </w:pPr>
    </w:p>
    <w:p w14:paraId="5B22438B" w14:textId="43901AC5" w:rsidR="00006528" w:rsidRDefault="008826E3">
      <w:pPr>
        <w:jc w:val="both"/>
        <w:rPr>
          <w:b/>
          <w:sz w:val="20"/>
        </w:rPr>
      </w:pPr>
      <w:r w:rsidRPr="00CB3F56">
        <w:rPr>
          <w:b/>
          <w:sz w:val="20"/>
        </w:rPr>
        <w:t xml:space="preserve">Adatfeldolgozó: </w:t>
      </w:r>
      <w:r w:rsidRPr="00CB3F56">
        <w:rPr>
          <w:sz w:val="20"/>
        </w:rPr>
        <w:t>Adatfeldolgozó igénybevételére nem kerül sor.</w:t>
      </w:r>
    </w:p>
    <w:p w14:paraId="4C860E2D" w14:textId="77777777" w:rsidR="00006528" w:rsidRDefault="00006528">
      <w:pPr>
        <w:jc w:val="center"/>
        <w:rPr>
          <w:b/>
          <w:sz w:val="20"/>
        </w:rPr>
      </w:pPr>
    </w:p>
    <w:p w14:paraId="4DDAB6A7" w14:textId="6AD42E06" w:rsidR="00006528" w:rsidRDefault="008826E3">
      <w:pPr>
        <w:rPr>
          <w:bCs/>
          <w:i/>
          <w:sz w:val="20"/>
        </w:rPr>
      </w:pPr>
      <w:r>
        <w:rPr>
          <w:b/>
          <w:sz w:val="20"/>
          <w:u w:val="single"/>
        </w:rPr>
        <w:t>Mire használjuk az Ön adatait?</w:t>
      </w:r>
      <w:r>
        <w:rPr>
          <w:b/>
          <w:bCs/>
          <w:sz w:val="20"/>
        </w:rPr>
        <w:t xml:space="preserve"> </w:t>
      </w:r>
    </w:p>
    <w:p w14:paraId="5A9E0A7F" w14:textId="4163BAAA" w:rsidR="00006528" w:rsidRDefault="00531E90">
      <w:pPr>
        <w:jc w:val="both"/>
        <w:rPr>
          <w:sz w:val="20"/>
        </w:rPr>
      </w:pPr>
      <w:r>
        <w:rPr>
          <w:bCs/>
          <w:sz w:val="20"/>
        </w:rPr>
        <w:t>A rendezvény során hang- és képrögzítés valamint streamelés zajlik. Ezeket a felvételeket az online stream mellett megőrizzük stream videóként</w:t>
      </w:r>
      <w:r w:rsidR="00165CFB">
        <w:rPr>
          <w:bCs/>
          <w:sz w:val="20"/>
        </w:rPr>
        <w:t xml:space="preserve">, valamint önálló videóként és képként </w:t>
      </w:r>
      <w:r>
        <w:rPr>
          <w:bCs/>
          <w:sz w:val="20"/>
        </w:rPr>
        <w:t>feltesszük a kar Youtube-csatornájára</w:t>
      </w:r>
      <w:r w:rsidR="00165CFB">
        <w:rPr>
          <w:bCs/>
          <w:sz w:val="20"/>
        </w:rPr>
        <w:t xml:space="preserve"> és közösségi média felületeire</w:t>
      </w:r>
      <w:r>
        <w:rPr>
          <w:bCs/>
          <w:sz w:val="20"/>
        </w:rPr>
        <w:t xml:space="preserve">. </w:t>
      </w:r>
    </w:p>
    <w:p w14:paraId="7C057E34" w14:textId="77777777" w:rsidR="00006528" w:rsidRDefault="00006528">
      <w:pPr>
        <w:jc w:val="both"/>
        <w:rPr>
          <w:b/>
          <w:sz w:val="20"/>
          <w:u w:val="single"/>
        </w:rPr>
      </w:pPr>
    </w:p>
    <w:p w14:paraId="76F0E4A7" w14:textId="7ECD9E48" w:rsidR="00006528" w:rsidRDefault="008826E3" w:rsidP="00CB3F56">
      <w:pPr>
        <w:jc w:val="both"/>
        <w:rPr>
          <w:sz w:val="20"/>
        </w:rPr>
      </w:pPr>
      <w:r>
        <w:rPr>
          <w:b/>
          <w:sz w:val="20"/>
          <w:u w:val="single"/>
        </w:rPr>
        <w:t>Mely adatait fogjuk kezelni?</w:t>
      </w:r>
      <w:r>
        <w:rPr>
          <w:b/>
          <w:sz w:val="20"/>
        </w:rPr>
        <w:t xml:space="preserve"> </w:t>
      </w:r>
    </w:p>
    <w:p w14:paraId="75172638" w14:textId="2661D284" w:rsidR="00006528" w:rsidRDefault="00531E90">
      <w:pPr>
        <w:jc w:val="both"/>
        <w:rPr>
          <w:sz w:val="20"/>
        </w:rPr>
      </w:pPr>
      <w:r>
        <w:rPr>
          <w:sz w:val="20"/>
        </w:rPr>
        <w:t>A videófel</w:t>
      </w:r>
      <w:r w:rsidR="00165CFB">
        <w:rPr>
          <w:sz w:val="20"/>
        </w:rPr>
        <w:t>v</w:t>
      </w:r>
      <w:r>
        <w:rPr>
          <w:sz w:val="20"/>
        </w:rPr>
        <w:t>ételt.</w:t>
      </w:r>
    </w:p>
    <w:p w14:paraId="11FF8B0B" w14:textId="77777777" w:rsidR="00531E90" w:rsidRDefault="00531E90">
      <w:pPr>
        <w:jc w:val="both"/>
        <w:rPr>
          <w:b/>
          <w:sz w:val="20"/>
          <w:u w:val="single"/>
        </w:rPr>
      </w:pPr>
    </w:p>
    <w:p w14:paraId="1422359F" w14:textId="47ED048B" w:rsidR="00006528" w:rsidRDefault="008826E3">
      <w:pPr>
        <w:jc w:val="both"/>
        <w:rPr>
          <w:i/>
          <w:sz w:val="20"/>
        </w:rPr>
      </w:pPr>
      <w:r>
        <w:rPr>
          <w:b/>
          <w:sz w:val="20"/>
          <w:u w:val="single"/>
        </w:rPr>
        <w:t xml:space="preserve">Milyen alapon kezeljük az Ön adatait? </w:t>
      </w:r>
    </w:p>
    <w:p w14:paraId="7F6FD13A" w14:textId="2986DA03" w:rsidR="00006528" w:rsidRPr="00DE2B73" w:rsidRDefault="008826E3">
      <w:pPr>
        <w:numPr>
          <w:ilvl w:val="0"/>
          <w:numId w:val="2"/>
        </w:numPr>
        <w:ind w:left="284" w:hanging="284"/>
        <w:jc w:val="both"/>
        <w:rPr>
          <w:sz w:val="20"/>
          <w:u w:val="single"/>
        </w:rPr>
      </w:pPr>
      <w:r w:rsidRPr="00DE2B73">
        <w:rPr>
          <w:sz w:val="20"/>
          <w:u w:val="single"/>
        </w:rPr>
        <w:t>Mert Ön ehhez hozzájárult. Hozzájárulását bármikor visszavonhatja. A hozzájárulás visszavonása nem érinti a visszavonás előtt a hozzájárulás alapján végrehajtott adatkezelés jogszerűségét.</w:t>
      </w:r>
      <w:r w:rsidR="00DE2B73">
        <w:rPr>
          <w:sz w:val="20"/>
          <w:u w:val="single"/>
        </w:rPr>
        <w:t xml:space="preserve"> </w:t>
      </w:r>
      <w:r w:rsidR="00DE2B73">
        <w:rPr>
          <w:sz w:val="20"/>
        </w:rPr>
        <w:t>Hozzájárulását törölheti a jelenléti ívről manuálisan, vagy a kapcsolattartót felkeresve (elérhetőségei lsd: feljebb).</w:t>
      </w:r>
    </w:p>
    <w:p w14:paraId="7FBA8E4F" w14:textId="7B2C9FB8" w:rsidR="00006528" w:rsidRDefault="008826E3">
      <w:pPr>
        <w:numPr>
          <w:ilvl w:val="0"/>
          <w:numId w:val="2"/>
        </w:numPr>
        <w:ind w:left="284" w:hanging="284"/>
        <w:jc w:val="both"/>
        <w:rPr>
          <w:sz w:val="20"/>
        </w:rPr>
      </w:pPr>
      <w:r>
        <w:rPr>
          <w:sz w:val="20"/>
        </w:rPr>
        <w:t xml:space="preserve">Mert az Ön által kötött szerződés teljesítéséhez ez elengedhetetlenül szükséges vagy </w:t>
      </w:r>
      <w:r>
        <w:rPr>
          <w:color w:val="000000"/>
          <w:sz w:val="20"/>
          <w:shd w:val="clear" w:color="auto" w:fill="FFFFFF"/>
        </w:rPr>
        <w:t>szerződés megkötését megelőzően az Ön kérésére történő lépések megtételéhez szükséges</w:t>
      </w:r>
      <w:r>
        <w:rPr>
          <w:sz w:val="20"/>
        </w:rPr>
        <w:t xml:space="preserve">. Amennyiben nem adja meg adatait, nem tudjuk megkötni, illetve teljesíteni a szerződést. </w:t>
      </w:r>
    </w:p>
    <w:p w14:paraId="32F270CD" w14:textId="442CDD02" w:rsidR="00006528" w:rsidRDefault="008826E3">
      <w:pPr>
        <w:numPr>
          <w:ilvl w:val="0"/>
          <w:numId w:val="2"/>
        </w:numPr>
        <w:ind w:left="284" w:hanging="284"/>
        <w:jc w:val="both"/>
        <w:rPr>
          <w:sz w:val="20"/>
        </w:rPr>
      </w:pPr>
      <w:r>
        <w:rPr>
          <w:sz w:val="20"/>
        </w:rPr>
        <w:t>Mert jogszabály kötelezi az Egyetemet az Ön adatainak a kezelésére. A vonatkozó jogszabály (ha lehetséges, paragrafus, bekezdés, pont részletességgel</w:t>
      </w:r>
      <w:r w:rsidR="00DE2B73">
        <w:rPr>
          <w:sz w:val="20"/>
        </w:rPr>
        <w:t>)</w:t>
      </w:r>
      <w:r>
        <w:rPr>
          <w:sz w:val="20"/>
        </w:rPr>
        <w:t xml:space="preserve"> </w:t>
      </w:r>
    </w:p>
    <w:p w14:paraId="19DE24F1" w14:textId="77777777" w:rsidR="00006528" w:rsidRDefault="008826E3">
      <w:pPr>
        <w:numPr>
          <w:ilvl w:val="0"/>
          <w:numId w:val="2"/>
        </w:numPr>
        <w:ind w:left="284" w:hanging="284"/>
        <w:jc w:val="both"/>
        <w:rPr>
          <w:sz w:val="20"/>
        </w:rPr>
      </w:pPr>
      <w:r>
        <w:rPr>
          <w:color w:val="000000"/>
          <w:sz w:val="20"/>
          <w:shd w:val="clear" w:color="auto" w:fill="FFFFFF"/>
        </w:rPr>
        <w:t>Mert az adatkezelés közérdekű vagy az adatkezelőre ruházott közhatalmi jogosítvány gyakorlásának keretében végzett feladat végrehajtásához szükséges. A vonatkozó jogszabály (</w:t>
      </w:r>
      <w:r>
        <w:rPr>
          <w:sz w:val="20"/>
        </w:rPr>
        <w:t>ha lehetséges, paragrafus, bekezdés, pont részletességgel</w:t>
      </w:r>
      <w:r>
        <w:rPr>
          <w:color w:val="000000"/>
          <w:sz w:val="20"/>
          <w:shd w:val="clear" w:color="auto" w:fill="FFFFFF"/>
        </w:rPr>
        <w:t>):</w:t>
      </w:r>
    </w:p>
    <w:p w14:paraId="7A3BFB6D" w14:textId="0C317F46" w:rsidR="00006528" w:rsidRDefault="008826E3">
      <w:pPr>
        <w:numPr>
          <w:ilvl w:val="0"/>
          <w:numId w:val="2"/>
        </w:numPr>
        <w:ind w:left="284" w:hanging="284"/>
        <w:jc w:val="both"/>
        <w:rPr>
          <w:sz w:val="20"/>
        </w:rPr>
      </w:pPr>
      <w:r>
        <w:rPr>
          <w:sz w:val="20"/>
        </w:rPr>
        <w:t>Mert az Egyetem jogos érdeke így kívánja, úgy mint</w:t>
      </w:r>
      <w:r w:rsidR="00DE2B73">
        <w:rPr>
          <w:sz w:val="20"/>
        </w:rPr>
        <w:t>..</w:t>
      </w:r>
    </w:p>
    <w:p w14:paraId="6A29888B" w14:textId="41AABC8E" w:rsidR="00006528" w:rsidRDefault="00006528">
      <w:pPr>
        <w:ind w:left="284"/>
        <w:jc w:val="both"/>
        <w:rPr>
          <w:sz w:val="20"/>
        </w:rPr>
      </w:pPr>
    </w:p>
    <w:p w14:paraId="566837C1" w14:textId="77777777" w:rsidR="00006528" w:rsidRDefault="00006528">
      <w:pPr>
        <w:jc w:val="both"/>
        <w:rPr>
          <w:sz w:val="20"/>
        </w:rPr>
      </w:pPr>
    </w:p>
    <w:p w14:paraId="077E95CB" w14:textId="77777777" w:rsidR="00006528" w:rsidRDefault="00006528">
      <w:pPr>
        <w:jc w:val="both"/>
        <w:rPr>
          <w:sz w:val="20"/>
        </w:rPr>
      </w:pPr>
    </w:p>
    <w:p w14:paraId="1E453B6E" w14:textId="4FEBA595" w:rsidR="00006528" w:rsidRDefault="008826E3">
      <w:pPr>
        <w:jc w:val="both"/>
        <w:rPr>
          <w:i/>
          <w:sz w:val="20"/>
        </w:rPr>
      </w:pPr>
      <w:r>
        <w:rPr>
          <w:b/>
          <w:sz w:val="20"/>
          <w:u w:val="single"/>
        </w:rPr>
        <w:t>Adattovábbítás esetén az adatok</w:t>
      </w:r>
      <w:r>
        <w:rPr>
          <w:b/>
          <w:color w:val="000000"/>
          <w:sz w:val="20"/>
          <w:u w:val="single"/>
        </w:rPr>
        <w:t xml:space="preserve"> címzettjei</w:t>
      </w:r>
      <w:r>
        <w:rPr>
          <w:rStyle w:val="Lbjegyzet-hivatkozs"/>
          <w:b/>
          <w:color w:val="000000"/>
          <w:sz w:val="20"/>
          <w:u w:val="single"/>
        </w:rPr>
        <w:footnoteReference w:id="1"/>
      </w:r>
      <w:r>
        <w:rPr>
          <w:b/>
          <w:color w:val="000000"/>
          <w:sz w:val="20"/>
          <w:u w:val="single"/>
        </w:rPr>
        <w:t>, illetve a címzettek kategóriái</w:t>
      </w:r>
      <w:r>
        <w:rPr>
          <w:sz w:val="20"/>
        </w:rPr>
        <w:t xml:space="preserve">: </w:t>
      </w:r>
      <w:r w:rsidR="00DE2B73">
        <w:rPr>
          <w:sz w:val="20"/>
        </w:rPr>
        <w:t xml:space="preserve">A Nemzeti Kutatási, Fejlesztési és Innovációs Hivatal </w:t>
      </w:r>
    </w:p>
    <w:p w14:paraId="6105A4A7" w14:textId="77777777" w:rsidR="00006528" w:rsidRDefault="00006528">
      <w:pPr>
        <w:jc w:val="both"/>
        <w:rPr>
          <w:b/>
          <w:color w:val="000000"/>
          <w:sz w:val="20"/>
          <w:u w:val="single"/>
        </w:rPr>
      </w:pPr>
    </w:p>
    <w:p w14:paraId="4F9AF7BC" w14:textId="77777777" w:rsidR="00006528" w:rsidRDefault="00006528">
      <w:pPr>
        <w:jc w:val="both"/>
        <w:rPr>
          <w:sz w:val="20"/>
        </w:rPr>
      </w:pPr>
    </w:p>
    <w:p w14:paraId="44CF8BC3" w14:textId="42654C99" w:rsidR="00006528" w:rsidRPr="00DE2B73" w:rsidRDefault="008826E3" w:rsidP="00DE2B73">
      <w:pPr>
        <w:pStyle w:val="Default"/>
        <w:rPr>
          <w:rFonts w:ascii="Garamond" w:eastAsiaTheme="minorHAnsi" w:hAnsi="Garamond" w:cs="Garamond"/>
        </w:rPr>
      </w:pPr>
      <w:r>
        <w:rPr>
          <w:b/>
          <w:sz w:val="20"/>
          <w:u w:val="single"/>
        </w:rPr>
        <w:t>Meddig kezeljük az Ön adatait?</w:t>
      </w:r>
      <w:r>
        <w:rPr>
          <w:sz w:val="20"/>
        </w:rPr>
        <w:t xml:space="preserve"> </w:t>
      </w:r>
      <w:r w:rsidR="00531E90">
        <w:rPr>
          <w:i/>
          <w:sz w:val="20"/>
        </w:rPr>
        <w:t xml:space="preserve">Videó megosztó felületünkön meghatározatlan ideig. </w:t>
      </w:r>
    </w:p>
    <w:p w14:paraId="693193ED" w14:textId="77777777" w:rsidR="00006528" w:rsidRDefault="00006528">
      <w:pPr>
        <w:ind w:firstLine="204"/>
        <w:jc w:val="both"/>
        <w:rPr>
          <w:sz w:val="20"/>
        </w:rPr>
      </w:pPr>
    </w:p>
    <w:p w14:paraId="2E04CE01" w14:textId="5F971E40" w:rsidR="00006528" w:rsidRDefault="008826E3">
      <w:pPr>
        <w:jc w:val="both"/>
        <w:rPr>
          <w:bCs/>
          <w:sz w:val="20"/>
        </w:rPr>
      </w:pPr>
      <w:r>
        <w:rPr>
          <w:b/>
          <w:bCs/>
          <w:sz w:val="20"/>
          <w:u w:val="single"/>
        </w:rPr>
        <w:t>Honnan származnak az Ön adatai?</w:t>
      </w:r>
      <w:r>
        <w:rPr>
          <w:bCs/>
          <w:sz w:val="20"/>
        </w:rPr>
        <w:t xml:space="preserve"> </w:t>
      </w:r>
      <w:r w:rsidR="00DE2B73">
        <w:rPr>
          <w:bCs/>
          <w:i/>
          <w:sz w:val="20"/>
        </w:rPr>
        <w:t>Az adatokat az érintettektől gyűjtöttük</w:t>
      </w:r>
    </w:p>
    <w:p w14:paraId="095FCD37" w14:textId="77777777" w:rsidR="00006528" w:rsidRDefault="00006528">
      <w:pPr>
        <w:jc w:val="both"/>
        <w:rPr>
          <w:bCs/>
          <w:sz w:val="20"/>
          <w:u w:val="single"/>
        </w:rPr>
      </w:pPr>
    </w:p>
    <w:p w14:paraId="557B7248" w14:textId="1FB13BE1" w:rsidR="00006528" w:rsidRDefault="00006528">
      <w:pPr>
        <w:jc w:val="both"/>
        <w:rPr>
          <w:b/>
          <w:sz w:val="20"/>
          <w:u w:val="single"/>
        </w:rPr>
      </w:pPr>
    </w:p>
    <w:p w14:paraId="6D52E30E" w14:textId="1FDD7265" w:rsidR="00DE2B73" w:rsidRDefault="00DE2B73">
      <w:pPr>
        <w:jc w:val="both"/>
        <w:rPr>
          <w:b/>
          <w:sz w:val="20"/>
          <w:u w:val="single"/>
        </w:rPr>
      </w:pPr>
    </w:p>
    <w:p w14:paraId="0D7A4C29" w14:textId="27C86E9A" w:rsidR="00DE2B73" w:rsidRDefault="00DE2B73">
      <w:pPr>
        <w:jc w:val="both"/>
        <w:rPr>
          <w:b/>
          <w:sz w:val="20"/>
          <w:u w:val="single"/>
        </w:rPr>
      </w:pPr>
    </w:p>
    <w:p w14:paraId="4F47DC24" w14:textId="12D534E3" w:rsidR="00DE2B73" w:rsidRDefault="00DE2B73">
      <w:pPr>
        <w:jc w:val="both"/>
        <w:rPr>
          <w:b/>
          <w:sz w:val="20"/>
          <w:u w:val="single"/>
        </w:rPr>
      </w:pPr>
    </w:p>
    <w:p w14:paraId="185A99D8" w14:textId="66CCC1D7" w:rsidR="00DE2B73" w:rsidRDefault="00DE2B73">
      <w:pPr>
        <w:jc w:val="both"/>
        <w:rPr>
          <w:b/>
          <w:sz w:val="20"/>
          <w:u w:val="single"/>
        </w:rPr>
      </w:pPr>
    </w:p>
    <w:p w14:paraId="58355528" w14:textId="1110C9A2" w:rsidR="00DE2B73" w:rsidRDefault="00DE2B73">
      <w:pPr>
        <w:jc w:val="both"/>
        <w:rPr>
          <w:b/>
          <w:sz w:val="20"/>
          <w:u w:val="single"/>
        </w:rPr>
      </w:pPr>
    </w:p>
    <w:p w14:paraId="4C14071F" w14:textId="77777777" w:rsidR="00DE2B73" w:rsidRDefault="00DE2B73">
      <w:pPr>
        <w:jc w:val="both"/>
        <w:rPr>
          <w:sz w:val="20"/>
        </w:rPr>
      </w:pPr>
    </w:p>
    <w:p w14:paraId="3EF31453" w14:textId="77777777" w:rsidR="008826E3" w:rsidRDefault="008826E3" w:rsidP="008826E3">
      <w:pPr>
        <w:jc w:val="both"/>
        <w:rPr>
          <w:b/>
          <w:bCs/>
          <w:sz w:val="20"/>
          <w:u w:val="single"/>
        </w:rPr>
      </w:pPr>
      <w:r>
        <w:rPr>
          <w:b/>
          <w:bCs/>
          <w:sz w:val="20"/>
          <w:u w:val="single"/>
        </w:rPr>
        <w:t>Az Önt megillető jogosultságok (részletes kifejtését a jelen tájékoztató melléklete tartalmazza):</w:t>
      </w:r>
    </w:p>
    <w:p w14:paraId="0E5F9C02" w14:textId="77777777" w:rsidR="008826E3" w:rsidRDefault="008826E3" w:rsidP="008826E3">
      <w:pPr>
        <w:numPr>
          <w:ilvl w:val="0"/>
          <w:numId w:val="3"/>
        </w:numPr>
        <w:ind w:left="284" w:hanging="284"/>
        <w:jc w:val="both"/>
        <w:rPr>
          <w:sz w:val="20"/>
        </w:rPr>
      </w:pPr>
      <w:r>
        <w:rPr>
          <w:b/>
          <w:sz w:val="20"/>
        </w:rPr>
        <w:lastRenderedPageBreak/>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04F0A2C4" w14:textId="77777777" w:rsidR="008826E3" w:rsidRDefault="008826E3" w:rsidP="008826E3">
      <w:pPr>
        <w:numPr>
          <w:ilvl w:val="0"/>
          <w:numId w:val="3"/>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1EA0E8DC" w14:textId="77777777" w:rsidR="008826E3" w:rsidRDefault="008826E3" w:rsidP="008826E3">
      <w:pPr>
        <w:numPr>
          <w:ilvl w:val="0"/>
          <w:numId w:val="3"/>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1E12077B" w14:textId="77777777" w:rsidR="008826E3" w:rsidRDefault="008826E3" w:rsidP="008826E3">
      <w:pPr>
        <w:numPr>
          <w:ilvl w:val="0"/>
          <w:numId w:val="3"/>
        </w:numPr>
        <w:ind w:left="284" w:hanging="284"/>
        <w:jc w:val="both"/>
        <w:rPr>
          <w:sz w:val="20"/>
        </w:rPr>
      </w:pPr>
      <w:r>
        <w:rPr>
          <w:b/>
          <w:sz w:val="20"/>
        </w:rPr>
        <w:t>személyes adatainak törléséhez való jog</w:t>
      </w:r>
      <w:r>
        <w:rPr>
          <w:sz w:val="20"/>
        </w:rPr>
        <w:t xml:space="preserve"> – Ön kérheti, hogy személyes adatait az adatkezelő törölje;</w:t>
      </w:r>
    </w:p>
    <w:p w14:paraId="34B5BF11" w14:textId="77777777" w:rsidR="008826E3" w:rsidRDefault="008826E3" w:rsidP="008826E3">
      <w:pPr>
        <w:numPr>
          <w:ilvl w:val="0"/>
          <w:numId w:val="3"/>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3B6FD0A8" w14:textId="77777777" w:rsidR="008826E3" w:rsidRDefault="008826E3" w:rsidP="008826E3">
      <w:pPr>
        <w:numPr>
          <w:ilvl w:val="0"/>
          <w:numId w:val="3"/>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4BA4A2EF" w14:textId="77777777" w:rsidR="008826E3" w:rsidRDefault="008826E3" w:rsidP="008826E3">
      <w:pPr>
        <w:numPr>
          <w:ilvl w:val="0"/>
          <w:numId w:val="3"/>
        </w:numPr>
        <w:ind w:left="284" w:hanging="284"/>
        <w:jc w:val="both"/>
        <w:rPr>
          <w:b/>
          <w:sz w:val="20"/>
        </w:rPr>
      </w:pPr>
      <w:bookmarkStart w:id="0" w:name="_Hlk42600310"/>
      <w:r>
        <w:rPr>
          <w:b/>
          <w:sz w:val="20"/>
        </w:rPr>
        <w:t>adathordozhatósághoz való jog</w:t>
      </w:r>
      <w:r>
        <w:rPr>
          <w:sz w:val="20"/>
        </w:rPr>
        <w:t xml:space="preserve"> </w:t>
      </w:r>
      <w:r>
        <w:rPr>
          <w:b/>
          <w:sz w:val="20"/>
        </w:rPr>
        <w:t xml:space="preserve">– </w:t>
      </w:r>
      <w:bookmarkStart w:id="1"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1"/>
      <w:r>
        <w:rPr>
          <w:sz w:val="20"/>
        </w:rPr>
        <w:t>;</w:t>
      </w:r>
    </w:p>
    <w:p w14:paraId="060B85DE" w14:textId="77777777" w:rsidR="008826E3" w:rsidRDefault="008826E3" w:rsidP="008826E3">
      <w:pPr>
        <w:numPr>
          <w:ilvl w:val="0"/>
          <w:numId w:val="3"/>
        </w:numPr>
        <w:ind w:left="284" w:hanging="284"/>
        <w:jc w:val="both"/>
        <w:rPr>
          <w:b/>
          <w:sz w:val="20"/>
        </w:rPr>
      </w:pPr>
      <w:bookmarkStart w:id="2" w:name="_Hlk42601017"/>
      <w:bookmarkEnd w:id="0"/>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az adatkezelés közérdekű vagy az adatkezelőre ruházott közhatalmi jogosítvány gyakorlásának keretében végzett feladat végrehajtásához szükséges</w:t>
      </w:r>
      <w:bookmarkEnd w:id="2"/>
      <w:r>
        <w:rPr>
          <w:sz w:val="20"/>
        </w:rPr>
        <w:t>;</w:t>
      </w:r>
      <w:r>
        <w:rPr>
          <w:b/>
          <w:sz w:val="20"/>
        </w:rPr>
        <w:t xml:space="preserve"> </w:t>
      </w:r>
    </w:p>
    <w:p w14:paraId="031B3D5D" w14:textId="77777777" w:rsidR="008826E3" w:rsidRDefault="008826E3" w:rsidP="008826E3">
      <w:pPr>
        <w:numPr>
          <w:ilvl w:val="0"/>
          <w:numId w:val="3"/>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470DD69A" w14:textId="77777777" w:rsidR="008826E3" w:rsidRDefault="008826E3" w:rsidP="008826E3">
      <w:pPr>
        <w:numPr>
          <w:ilvl w:val="0"/>
          <w:numId w:val="3"/>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78EEA62A" w14:textId="77777777" w:rsidR="008826E3" w:rsidRDefault="008826E3" w:rsidP="008826E3">
      <w:pPr>
        <w:jc w:val="both"/>
        <w:rPr>
          <w:b/>
          <w:color w:val="000000"/>
          <w:sz w:val="20"/>
          <w:u w:val="single"/>
        </w:rPr>
      </w:pPr>
    </w:p>
    <w:p w14:paraId="76699064" w14:textId="77777777" w:rsidR="008826E3" w:rsidRDefault="008826E3" w:rsidP="008826E3">
      <w:pPr>
        <w:jc w:val="both"/>
        <w:rPr>
          <w:b/>
          <w:color w:val="000000"/>
          <w:sz w:val="20"/>
          <w:u w:val="single"/>
        </w:rPr>
      </w:pPr>
      <w:r>
        <w:rPr>
          <w:b/>
          <w:color w:val="000000"/>
          <w:sz w:val="20"/>
          <w:u w:val="single"/>
        </w:rPr>
        <w:t>Hová fordulhat, ha jogorvoslattal szeretne élni, vagy ha kérdése van?</w:t>
      </w:r>
    </w:p>
    <w:p w14:paraId="4AD54556" w14:textId="77777777" w:rsidR="008826E3" w:rsidRDefault="008826E3" w:rsidP="008826E3">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72D1DB91" w14:textId="77777777" w:rsidR="008826E3" w:rsidRDefault="008826E3" w:rsidP="008826E3">
      <w:pPr>
        <w:ind w:left="284"/>
        <w:jc w:val="both"/>
        <w:rPr>
          <w:sz w:val="20"/>
        </w:rPr>
      </w:pPr>
      <w:r>
        <w:rPr>
          <w:sz w:val="20"/>
        </w:rPr>
        <w:t>Adatvédelmi és Stratégiai Adatkezelési Iroda</w:t>
      </w:r>
    </w:p>
    <w:p w14:paraId="77E13605" w14:textId="77777777" w:rsidR="008826E3" w:rsidRDefault="008826E3" w:rsidP="008826E3">
      <w:pPr>
        <w:ind w:left="284"/>
        <w:jc w:val="both"/>
        <w:rPr>
          <w:sz w:val="20"/>
        </w:rPr>
      </w:pPr>
      <w:r>
        <w:rPr>
          <w:sz w:val="20"/>
        </w:rPr>
        <w:t>1053 Budapest, Ferenciek tere 6. III. emelet</w:t>
      </w:r>
    </w:p>
    <w:p w14:paraId="15E250D6" w14:textId="77777777" w:rsidR="008826E3" w:rsidRDefault="008826E3" w:rsidP="008826E3">
      <w:pPr>
        <w:ind w:left="284"/>
        <w:jc w:val="both"/>
        <w:rPr>
          <w:sz w:val="20"/>
        </w:rPr>
      </w:pPr>
      <w:r>
        <w:rPr>
          <w:sz w:val="20"/>
        </w:rPr>
        <w:t>Tel.:  +36-1-411-6500 / 2855</w:t>
      </w:r>
    </w:p>
    <w:p w14:paraId="2643CE54" w14:textId="77777777" w:rsidR="008826E3" w:rsidRDefault="008826E3" w:rsidP="008826E3">
      <w:pPr>
        <w:ind w:left="284"/>
        <w:jc w:val="both"/>
        <w:rPr>
          <w:sz w:val="20"/>
        </w:rPr>
      </w:pPr>
      <w:r>
        <w:rPr>
          <w:sz w:val="20"/>
        </w:rPr>
        <w:t>Email: adatvedelem@rk.elte.hu</w:t>
      </w:r>
    </w:p>
    <w:p w14:paraId="124F22EB" w14:textId="77777777" w:rsidR="008826E3" w:rsidRDefault="008826E3" w:rsidP="008826E3">
      <w:pPr>
        <w:jc w:val="both"/>
        <w:rPr>
          <w:sz w:val="20"/>
          <w:u w:val="single"/>
        </w:rPr>
      </w:pPr>
    </w:p>
    <w:p w14:paraId="00FB3FE8" w14:textId="77777777" w:rsidR="008826E3" w:rsidRDefault="008826E3" w:rsidP="008826E3">
      <w:pPr>
        <w:jc w:val="both"/>
        <w:rPr>
          <w:sz w:val="20"/>
          <w:u w:val="single"/>
        </w:rPr>
      </w:pPr>
      <w:r>
        <w:rPr>
          <w:sz w:val="20"/>
          <w:u w:val="single"/>
        </w:rPr>
        <w:t>További jogorvoslati lehetőségek:</w:t>
      </w:r>
    </w:p>
    <w:p w14:paraId="41CF530A" w14:textId="77777777" w:rsidR="008826E3" w:rsidRDefault="008826E3" w:rsidP="008826E3">
      <w:pPr>
        <w:jc w:val="both"/>
        <w:rPr>
          <w:sz w:val="20"/>
        </w:rPr>
      </w:pPr>
      <w:r>
        <w:rPr>
          <w:sz w:val="20"/>
          <w:u w:val="single"/>
        </w:rPr>
        <w:t>A Nemzeti Adatvédelmi és Információszabadság Hatóság (NAIH)</w:t>
      </w:r>
    </w:p>
    <w:p w14:paraId="49B18378" w14:textId="6462E160" w:rsidR="008826E3" w:rsidRPr="00893F90" w:rsidRDefault="00DF6B0E" w:rsidP="008826E3">
      <w:pPr>
        <w:ind w:left="284"/>
        <w:jc w:val="both"/>
        <w:rPr>
          <w:sz w:val="20"/>
          <w:lang w:val="en-GB"/>
        </w:rPr>
      </w:pPr>
      <w:r w:rsidRPr="00893F90">
        <w:rPr>
          <w:sz w:val="20"/>
          <w:lang w:val="en-GB"/>
        </w:rPr>
        <w:t>13</w:t>
      </w:r>
      <w:r>
        <w:rPr>
          <w:sz w:val="20"/>
          <w:lang w:val="en-GB"/>
        </w:rPr>
        <w:t>63</w:t>
      </w:r>
      <w:r w:rsidRPr="00893F90">
        <w:rPr>
          <w:sz w:val="20"/>
          <w:lang w:val="en-GB"/>
        </w:rPr>
        <w:t xml:space="preserve"> </w:t>
      </w:r>
      <w:r w:rsidR="008826E3" w:rsidRPr="00893F90">
        <w:rPr>
          <w:sz w:val="20"/>
          <w:lang w:val="en-GB"/>
        </w:rPr>
        <w:t xml:space="preserve">Budapest, Pf. </w:t>
      </w:r>
      <w:r>
        <w:rPr>
          <w:sz w:val="20"/>
          <w:lang w:val="en-GB"/>
        </w:rPr>
        <w:t>9</w:t>
      </w:r>
      <w:r w:rsidR="008826E3" w:rsidRPr="00893F90">
        <w:rPr>
          <w:sz w:val="20"/>
          <w:lang w:val="en-GB"/>
        </w:rPr>
        <w:t>.</w:t>
      </w:r>
    </w:p>
    <w:p w14:paraId="3A0D79EC" w14:textId="77777777" w:rsidR="008826E3" w:rsidRDefault="008826E3" w:rsidP="008826E3">
      <w:pPr>
        <w:ind w:left="284"/>
        <w:jc w:val="both"/>
        <w:rPr>
          <w:sz w:val="20"/>
        </w:rPr>
      </w:pPr>
      <w:r>
        <w:rPr>
          <w:sz w:val="20"/>
        </w:rPr>
        <w:t xml:space="preserve">Honlap: </w:t>
      </w:r>
      <w:hyperlink r:id="rId9" w:history="1">
        <w:r>
          <w:rPr>
            <w:rStyle w:val="Hiperhivatkozs"/>
            <w:sz w:val="20"/>
          </w:rPr>
          <w:t>www.naih.hu</w:t>
        </w:r>
      </w:hyperlink>
    </w:p>
    <w:p w14:paraId="320B18B8" w14:textId="77777777" w:rsidR="008826E3" w:rsidRDefault="008826E3" w:rsidP="008826E3">
      <w:pPr>
        <w:ind w:left="284"/>
        <w:jc w:val="both"/>
        <w:rPr>
          <w:sz w:val="20"/>
        </w:rPr>
      </w:pPr>
      <w:r>
        <w:rPr>
          <w:sz w:val="20"/>
        </w:rPr>
        <w:t>Tel.: +36-1-391-1400</w:t>
      </w:r>
    </w:p>
    <w:p w14:paraId="6EC01758" w14:textId="77777777" w:rsidR="008826E3" w:rsidRDefault="008826E3" w:rsidP="008826E3">
      <w:pPr>
        <w:pStyle w:val="NormlWeb"/>
        <w:spacing w:before="0" w:beforeAutospacing="0" w:after="0" w:afterAutospacing="0"/>
        <w:jc w:val="both"/>
        <w:rPr>
          <w:color w:val="000000"/>
          <w:sz w:val="20"/>
          <w:szCs w:val="20"/>
        </w:rPr>
      </w:pPr>
      <w:r>
        <w:rPr>
          <w:sz w:val="20"/>
          <w:szCs w:val="20"/>
          <w:u w:val="single"/>
        </w:rPr>
        <w:t xml:space="preserve">Bíróság </w:t>
      </w:r>
    </w:p>
    <w:p w14:paraId="5A4C7644" w14:textId="77777777" w:rsidR="008826E3" w:rsidRDefault="008826E3" w:rsidP="008826E3">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4261ECBD" w14:textId="77777777" w:rsidR="008826E3" w:rsidRDefault="008826E3" w:rsidP="008826E3">
      <w:pPr>
        <w:ind w:left="567"/>
        <w:jc w:val="both"/>
        <w:rPr>
          <w:sz w:val="20"/>
        </w:rPr>
      </w:pPr>
    </w:p>
    <w:p w14:paraId="41C3E6ED" w14:textId="77777777" w:rsidR="008826E3" w:rsidRDefault="008826E3" w:rsidP="008826E3">
      <w:pPr>
        <w:pStyle w:val="NormlWeb"/>
        <w:spacing w:before="0" w:beforeAutospacing="0" w:after="0" w:afterAutospacing="0"/>
        <w:jc w:val="center"/>
        <w:rPr>
          <w:b/>
          <w:bCs/>
          <w:color w:val="000000"/>
          <w:sz w:val="20"/>
          <w:szCs w:val="20"/>
        </w:rPr>
      </w:pPr>
      <w:r>
        <w:rPr>
          <w:b/>
          <w:bCs/>
          <w:color w:val="000000"/>
          <w:sz w:val="20"/>
          <w:szCs w:val="20"/>
        </w:rPr>
        <w:t>MELLÉKLET</w:t>
      </w:r>
    </w:p>
    <w:p w14:paraId="137EEAE4" w14:textId="77777777" w:rsidR="008826E3" w:rsidRDefault="008826E3" w:rsidP="008826E3">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0705E9AC" w14:textId="77777777" w:rsidR="008826E3" w:rsidRDefault="008826E3" w:rsidP="008826E3">
      <w:pPr>
        <w:jc w:val="both"/>
        <w:rPr>
          <w:b/>
          <w:bCs/>
          <w:sz w:val="20"/>
        </w:rPr>
      </w:pPr>
    </w:p>
    <w:p w14:paraId="08E231D9" w14:textId="77777777" w:rsidR="008826E3" w:rsidRDefault="008826E3" w:rsidP="008826E3">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2"/>
      </w:r>
      <w:r>
        <w:rPr>
          <w:rFonts w:ascii="Times New Roman" w:hAnsi="Times New Roman" w:cs="Times New Roman"/>
          <w:sz w:val="20"/>
          <w:szCs w:val="20"/>
        </w:rPr>
        <w:t xml:space="preserve">. </w:t>
      </w:r>
    </w:p>
    <w:p w14:paraId="689EF472" w14:textId="77777777" w:rsidR="008826E3" w:rsidRDefault="008826E3" w:rsidP="008826E3">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3514B678" w14:textId="77777777" w:rsidR="008826E3" w:rsidRDefault="008826E3" w:rsidP="008826E3">
      <w:pPr>
        <w:pStyle w:val="NormlWeb"/>
        <w:spacing w:after="0"/>
        <w:rPr>
          <w:b/>
          <w:color w:val="000000"/>
          <w:sz w:val="20"/>
          <w:szCs w:val="20"/>
        </w:rPr>
      </w:pPr>
      <w:r>
        <w:rPr>
          <w:b/>
          <w:color w:val="000000"/>
          <w:sz w:val="20"/>
          <w:szCs w:val="20"/>
        </w:rPr>
        <w:lastRenderedPageBreak/>
        <w:t>Az alábbiakban az érintettet illető egyes jogok kifejtése olvasható.</w:t>
      </w:r>
    </w:p>
    <w:p w14:paraId="76A8F980"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(GDPR 12-14. cikk)</w:t>
      </w:r>
    </w:p>
    <w:p w14:paraId="4B789085"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és a jogorvoslatra, továbbá ha az adatok nem az érintettől származnak, akkor az adatok forrására vonatkozó tájékoztatási kötelezettségének. </w:t>
      </w:r>
    </w:p>
    <w:p w14:paraId="6B4D233E"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094DF511" w14:textId="77777777" w:rsidR="008826E3" w:rsidRDefault="008826E3" w:rsidP="008826E3">
      <w:pPr>
        <w:autoSpaceDE w:val="0"/>
        <w:autoSpaceDN w:val="0"/>
        <w:adjustRightInd w:val="0"/>
        <w:rPr>
          <w:color w:val="000000"/>
          <w:sz w:val="20"/>
        </w:rPr>
      </w:pPr>
    </w:p>
    <w:p w14:paraId="0EBF4440"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(GDPR 15. cikk)</w:t>
      </w:r>
    </w:p>
    <w:p w14:paraId="5AAA1222"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8826E3" w:rsidRPr="00904786" w14:paraId="6C03A9BF" w14:textId="77777777" w:rsidTr="00F61510">
        <w:trPr>
          <w:tblCellSpacing w:w="0" w:type="dxa"/>
        </w:trPr>
        <w:tc>
          <w:tcPr>
            <w:tcW w:w="370" w:type="dxa"/>
          </w:tcPr>
          <w:p w14:paraId="498675BF" w14:textId="77777777" w:rsidR="008826E3" w:rsidRPr="00904786" w:rsidRDefault="008826E3" w:rsidP="00F61510">
            <w:pPr>
              <w:jc w:val="both"/>
              <w:rPr>
                <w:color w:val="000000"/>
                <w:sz w:val="20"/>
                <w:lang w:eastAsia="en-US"/>
              </w:rPr>
            </w:pPr>
            <w:r w:rsidRPr="00904786">
              <w:rPr>
                <w:color w:val="000000"/>
                <w:sz w:val="20"/>
                <w:lang w:eastAsia="en-US"/>
              </w:rPr>
              <w:t>a)</w:t>
            </w:r>
          </w:p>
        </w:tc>
        <w:tc>
          <w:tcPr>
            <w:tcW w:w="8872" w:type="dxa"/>
          </w:tcPr>
          <w:p w14:paraId="46600098" w14:textId="77777777" w:rsidR="008826E3" w:rsidRPr="00904786" w:rsidRDefault="008826E3" w:rsidP="00F61510">
            <w:pPr>
              <w:jc w:val="both"/>
              <w:rPr>
                <w:color w:val="000000"/>
                <w:sz w:val="20"/>
                <w:lang w:eastAsia="en-US"/>
              </w:rPr>
            </w:pPr>
            <w:r w:rsidRPr="00904786">
              <w:rPr>
                <w:color w:val="000000"/>
                <w:sz w:val="20"/>
                <w:lang w:eastAsia="en-US"/>
              </w:rPr>
              <w:t>az adatkezelés céljai;</w:t>
            </w:r>
          </w:p>
        </w:tc>
      </w:tr>
      <w:tr w:rsidR="008826E3" w:rsidRPr="00904786" w14:paraId="3A0A3028" w14:textId="77777777" w:rsidTr="00F61510">
        <w:trPr>
          <w:tblCellSpacing w:w="0" w:type="dxa"/>
        </w:trPr>
        <w:tc>
          <w:tcPr>
            <w:tcW w:w="370" w:type="dxa"/>
          </w:tcPr>
          <w:p w14:paraId="6393FF1E" w14:textId="77777777" w:rsidR="008826E3" w:rsidRPr="00904786" w:rsidRDefault="008826E3" w:rsidP="00F61510">
            <w:pPr>
              <w:jc w:val="both"/>
              <w:rPr>
                <w:color w:val="000000"/>
                <w:sz w:val="20"/>
                <w:lang w:eastAsia="en-US"/>
              </w:rPr>
            </w:pPr>
            <w:r w:rsidRPr="00904786">
              <w:rPr>
                <w:color w:val="000000"/>
                <w:sz w:val="20"/>
                <w:lang w:eastAsia="en-US"/>
              </w:rPr>
              <w:t>b)</w:t>
            </w:r>
          </w:p>
        </w:tc>
        <w:tc>
          <w:tcPr>
            <w:tcW w:w="8872" w:type="dxa"/>
          </w:tcPr>
          <w:p w14:paraId="3FAF101E" w14:textId="77777777" w:rsidR="008826E3" w:rsidRPr="00904786" w:rsidRDefault="008826E3" w:rsidP="00F61510">
            <w:pPr>
              <w:jc w:val="both"/>
              <w:rPr>
                <w:color w:val="000000"/>
                <w:sz w:val="20"/>
                <w:lang w:eastAsia="en-US"/>
              </w:rPr>
            </w:pPr>
            <w:r w:rsidRPr="00904786">
              <w:rPr>
                <w:color w:val="000000"/>
                <w:sz w:val="20"/>
                <w:lang w:eastAsia="en-US"/>
              </w:rPr>
              <w:t>az érintett személyes adatok kategóriái;</w:t>
            </w:r>
          </w:p>
        </w:tc>
      </w:tr>
      <w:tr w:rsidR="008826E3" w:rsidRPr="00904786" w14:paraId="1E7DB35E" w14:textId="77777777" w:rsidTr="00F61510">
        <w:trPr>
          <w:tblCellSpacing w:w="0" w:type="dxa"/>
        </w:trPr>
        <w:tc>
          <w:tcPr>
            <w:tcW w:w="370" w:type="dxa"/>
          </w:tcPr>
          <w:p w14:paraId="33E63F88" w14:textId="77777777" w:rsidR="008826E3" w:rsidRPr="00904786" w:rsidRDefault="008826E3" w:rsidP="00F61510">
            <w:pPr>
              <w:jc w:val="both"/>
              <w:rPr>
                <w:color w:val="000000"/>
                <w:sz w:val="20"/>
                <w:lang w:eastAsia="en-US"/>
              </w:rPr>
            </w:pPr>
            <w:r w:rsidRPr="00904786">
              <w:rPr>
                <w:color w:val="000000"/>
                <w:sz w:val="20"/>
                <w:lang w:eastAsia="en-US"/>
              </w:rPr>
              <w:t>c)</w:t>
            </w:r>
          </w:p>
        </w:tc>
        <w:tc>
          <w:tcPr>
            <w:tcW w:w="8872" w:type="dxa"/>
          </w:tcPr>
          <w:p w14:paraId="23200572" w14:textId="77777777" w:rsidR="008826E3" w:rsidRPr="00904786" w:rsidRDefault="008826E3" w:rsidP="00F61510">
            <w:pPr>
              <w:jc w:val="both"/>
              <w:rPr>
                <w:color w:val="000000"/>
                <w:sz w:val="20"/>
                <w:lang w:eastAsia="en-US"/>
              </w:rPr>
            </w:pPr>
            <w:r w:rsidRPr="00904786">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8826E3" w:rsidRPr="00904786" w14:paraId="7721E1FE" w14:textId="77777777" w:rsidTr="00F61510">
        <w:trPr>
          <w:tblCellSpacing w:w="0" w:type="dxa"/>
        </w:trPr>
        <w:tc>
          <w:tcPr>
            <w:tcW w:w="370" w:type="dxa"/>
          </w:tcPr>
          <w:p w14:paraId="5756E587" w14:textId="77777777" w:rsidR="008826E3" w:rsidRPr="00904786" w:rsidRDefault="008826E3" w:rsidP="00F61510">
            <w:pPr>
              <w:jc w:val="both"/>
              <w:rPr>
                <w:color w:val="000000"/>
                <w:sz w:val="20"/>
                <w:lang w:eastAsia="en-US"/>
              </w:rPr>
            </w:pPr>
            <w:r w:rsidRPr="00904786">
              <w:rPr>
                <w:color w:val="000000"/>
                <w:sz w:val="20"/>
                <w:lang w:eastAsia="en-US"/>
              </w:rPr>
              <w:t>d)</w:t>
            </w:r>
          </w:p>
        </w:tc>
        <w:tc>
          <w:tcPr>
            <w:tcW w:w="8872" w:type="dxa"/>
          </w:tcPr>
          <w:p w14:paraId="3BB057B7" w14:textId="77777777" w:rsidR="008826E3" w:rsidRPr="00904786" w:rsidRDefault="008826E3" w:rsidP="00F61510">
            <w:pPr>
              <w:jc w:val="both"/>
              <w:rPr>
                <w:color w:val="000000"/>
                <w:sz w:val="20"/>
                <w:lang w:eastAsia="en-US"/>
              </w:rPr>
            </w:pPr>
            <w:r w:rsidRPr="00904786">
              <w:rPr>
                <w:color w:val="000000"/>
                <w:sz w:val="20"/>
                <w:lang w:eastAsia="en-US"/>
              </w:rPr>
              <w:t>adott esetben a személyes adatok tárolásának tervezett időtartama, vagy ha ez nem lehetséges, ezen időtartam meghatározásának szempontjai;</w:t>
            </w:r>
          </w:p>
        </w:tc>
      </w:tr>
      <w:tr w:rsidR="008826E3" w:rsidRPr="00904786" w14:paraId="4E2663E6" w14:textId="77777777" w:rsidTr="00F61510">
        <w:trPr>
          <w:tblCellSpacing w:w="0" w:type="dxa"/>
        </w:trPr>
        <w:tc>
          <w:tcPr>
            <w:tcW w:w="370" w:type="dxa"/>
          </w:tcPr>
          <w:p w14:paraId="69E7B74B" w14:textId="77777777" w:rsidR="008826E3" w:rsidRPr="00904786" w:rsidRDefault="008826E3" w:rsidP="00F61510">
            <w:pPr>
              <w:jc w:val="both"/>
              <w:rPr>
                <w:color w:val="000000"/>
                <w:sz w:val="20"/>
                <w:lang w:eastAsia="en-US"/>
              </w:rPr>
            </w:pPr>
            <w:r w:rsidRPr="00904786">
              <w:rPr>
                <w:color w:val="000000"/>
                <w:sz w:val="20"/>
                <w:lang w:eastAsia="en-US"/>
              </w:rPr>
              <w:t>e)</w:t>
            </w:r>
          </w:p>
        </w:tc>
        <w:tc>
          <w:tcPr>
            <w:tcW w:w="8872" w:type="dxa"/>
          </w:tcPr>
          <w:p w14:paraId="796FB958" w14:textId="77777777" w:rsidR="008826E3" w:rsidRPr="00904786" w:rsidRDefault="008826E3" w:rsidP="00F61510">
            <w:pPr>
              <w:jc w:val="both"/>
              <w:rPr>
                <w:color w:val="000000"/>
                <w:sz w:val="20"/>
                <w:lang w:eastAsia="en-US"/>
              </w:rPr>
            </w:pPr>
            <w:r w:rsidRPr="00904786">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8826E3" w:rsidRPr="00904786" w14:paraId="73B715CA" w14:textId="77777777" w:rsidTr="00F61510">
        <w:trPr>
          <w:tblCellSpacing w:w="0" w:type="dxa"/>
        </w:trPr>
        <w:tc>
          <w:tcPr>
            <w:tcW w:w="370" w:type="dxa"/>
          </w:tcPr>
          <w:p w14:paraId="31D33D01" w14:textId="77777777" w:rsidR="008826E3" w:rsidRPr="00904786" w:rsidRDefault="008826E3" w:rsidP="00F61510">
            <w:pPr>
              <w:jc w:val="both"/>
              <w:rPr>
                <w:color w:val="000000"/>
                <w:sz w:val="20"/>
                <w:lang w:eastAsia="en-US"/>
              </w:rPr>
            </w:pPr>
            <w:r w:rsidRPr="00904786">
              <w:rPr>
                <w:color w:val="000000"/>
                <w:sz w:val="20"/>
                <w:lang w:eastAsia="en-US"/>
              </w:rPr>
              <w:t>f)</w:t>
            </w:r>
          </w:p>
        </w:tc>
        <w:tc>
          <w:tcPr>
            <w:tcW w:w="8872" w:type="dxa"/>
          </w:tcPr>
          <w:p w14:paraId="0FD83006" w14:textId="77777777" w:rsidR="008826E3" w:rsidRPr="00904786" w:rsidRDefault="008826E3" w:rsidP="00F61510">
            <w:pPr>
              <w:jc w:val="both"/>
              <w:rPr>
                <w:color w:val="000000"/>
                <w:sz w:val="20"/>
                <w:lang w:eastAsia="en-US"/>
              </w:rPr>
            </w:pPr>
            <w:r w:rsidRPr="00904786">
              <w:rPr>
                <w:color w:val="000000"/>
                <w:sz w:val="20"/>
                <w:lang w:eastAsia="en-US"/>
              </w:rPr>
              <w:t>a valamely felügyeleti hatósághoz címzett panasz benyújtásának joga;</w:t>
            </w:r>
          </w:p>
        </w:tc>
      </w:tr>
      <w:tr w:rsidR="008826E3" w:rsidRPr="00904786" w14:paraId="040E6CBC" w14:textId="77777777" w:rsidTr="00F61510">
        <w:trPr>
          <w:tblCellSpacing w:w="0" w:type="dxa"/>
        </w:trPr>
        <w:tc>
          <w:tcPr>
            <w:tcW w:w="370" w:type="dxa"/>
          </w:tcPr>
          <w:p w14:paraId="51CBEEC0" w14:textId="77777777" w:rsidR="008826E3" w:rsidRPr="00904786" w:rsidRDefault="008826E3" w:rsidP="00F61510">
            <w:pPr>
              <w:jc w:val="both"/>
              <w:rPr>
                <w:color w:val="000000"/>
                <w:sz w:val="20"/>
                <w:lang w:eastAsia="en-US"/>
              </w:rPr>
            </w:pPr>
            <w:r w:rsidRPr="00904786">
              <w:rPr>
                <w:color w:val="000000"/>
                <w:sz w:val="20"/>
                <w:lang w:eastAsia="en-US"/>
              </w:rPr>
              <w:t>g)</w:t>
            </w:r>
          </w:p>
        </w:tc>
        <w:tc>
          <w:tcPr>
            <w:tcW w:w="8872" w:type="dxa"/>
          </w:tcPr>
          <w:p w14:paraId="17932C12" w14:textId="77777777" w:rsidR="008826E3" w:rsidRPr="00904786" w:rsidRDefault="008826E3" w:rsidP="00F61510">
            <w:pPr>
              <w:jc w:val="both"/>
              <w:rPr>
                <w:color w:val="000000"/>
                <w:sz w:val="20"/>
                <w:lang w:eastAsia="en-US"/>
              </w:rPr>
            </w:pPr>
            <w:r w:rsidRPr="00904786">
              <w:rPr>
                <w:color w:val="000000"/>
                <w:sz w:val="20"/>
                <w:lang w:eastAsia="en-US"/>
              </w:rPr>
              <w:t>ha az adatokat nem az érintettől gyűjtötték, a forrásukra vonatkozó minden elérhető információ;</w:t>
            </w:r>
          </w:p>
        </w:tc>
      </w:tr>
      <w:tr w:rsidR="008826E3" w:rsidRPr="00904786" w14:paraId="77F512AC" w14:textId="77777777" w:rsidTr="00F61510">
        <w:trPr>
          <w:tblCellSpacing w:w="0" w:type="dxa"/>
        </w:trPr>
        <w:tc>
          <w:tcPr>
            <w:tcW w:w="370" w:type="dxa"/>
          </w:tcPr>
          <w:p w14:paraId="386E12A2" w14:textId="77777777" w:rsidR="008826E3" w:rsidRPr="00904786" w:rsidRDefault="008826E3" w:rsidP="00F61510">
            <w:pPr>
              <w:jc w:val="both"/>
              <w:rPr>
                <w:color w:val="000000"/>
                <w:sz w:val="20"/>
                <w:lang w:eastAsia="en-US"/>
              </w:rPr>
            </w:pPr>
            <w:r w:rsidRPr="00904786">
              <w:rPr>
                <w:color w:val="000000"/>
                <w:sz w:val="20"/>
                <w:lang w:eastAsia="en-US"/>
              </w:rPr>
              <w:t>h)</w:t>
            </w:r>
          </w:p>
        </w:tc>
        <w:tc>
          <w:tcPr>
            <w:tcW w:w="8872" w:type="dxa"/>
          </w:tcPr>
          <w:p w14:paraId="71CD9C60" w14:textId="77777777" w:rsidR="008826E3" w:rsidRPr="00904786" w:rsidRDefault="008826E3" w:rsidP="00F61510">
            <w:pPr>
              <w:jc w:val="both"/>
              <w:rPr>
                <w:color w:val="000000"/>
                <w:sz w:val="20"/>
                <w:lang w:eastAsia="en-US"/>
              </w:rPr>
            </w:pPr>
            <w:r w:rsidRPr="00904786">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0FDA3DCF" w14:textId="77777777" w:rsidR="008826E3" w:rsidRDefault="008826E3" w:rsidP="008826E3">
      <w:pPr>
        <w:ind w:left="142"/>
        <w:jc w:val="both"/>
        <w:rPr>
          <w:sz w:val="20"/>
        </w:rPr>
      </w:pPr>
    </w:p>
    <w:p w14:paraId="4281E246"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0BD27A7D"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24B1C5D5" w14:textId="77777777" w:rsidR="008826E3" w:rsidRDefault="008826E3" w:rsidP="008826E3">
      <w:pPr>
        <w:pStyle w:val="Default"/>
        <w:ind w:left="284"/>
        <w:jc w:val="both"/>
        <w:rPr>
          <w:rFonts w:ascii="Times New Roman" w:hAnsi="Times New Roman" w:cs="Times New Roman"/>
          <w:sz w:val="20"/>
          <w:szCs w:val="20"/>
        </w:rPr>
      </w:pPr>
    </w:p>
    <w:p w14:paraId="52FF4D9A"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 az elfeledtetéshez való jog” (GDPR 17. cikk)</w:t>
      </w:r>
    </w:p>
    <w:p w14:paraId="2750E2E4"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651D056A"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2565A361"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47397AFB"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032FD89D"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5D95A1F3"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5072D9D8" w14:textId="77777777" w:rsidR="008826E3" w:rsidRDefault="008826E3" w:rsidP="008826E3">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w:t>
      </w:r>
    </w:p>
    <w:p w14:paraId="611C19E5" w14:textId="77777777" w:rsidR="008826E3" w:rsidRDefault="008826E3" w:rsidP="008826E3">
      <w:pPr>
        <w:pStyle w:val="Default"/>
        <w:ind w:left="567"/>
        <w:jc w:val="both"/>
        <w:rPr>
          <w:rFonts w:ascii="Times New Roman" w:hAnsi="Times New Roman" w:cs="Times New Roman"/>
          <w:sz w:val="20"/>
          <w:szCs w:val="20"/>
        </w:rPr>
      </w:pPr>
    </w:p>
    <w:p w14:paraId="0E1A4BA6"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(GDPR 18. cikk)</w:t>
      </w:r>
    </w:p>
    <w:p w14:paraId="21D4D089"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7C50D834"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44834B2F"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7BE8337F"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160C7EC8" w14:textId="77777777" w:rsidR="008826E3" w:rsidRDefault="008826E3" w:rsidP="008826E3">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78688B01" w14:textId="77777777" w:rsidR="008826E3" w:rsidRDefault="008826E3" w:rsidP="008826E3">
      <w:pPr>
        <w:rPr>
          <w:color w:val="000000"/>
          <w:sz w:val="20"/>
        </w:rPr>
      </w:pPr>
    </w:p>
    <w:p w14:paraId="5DA9A916" w14:textId="77777777" w:rsidR="008826E3" w:rsidRDefault="008826E3" w:rsidP="008826E3">
      <w:pPr>
        <w:pStyle w:val="Default"/>
        <w:numPr>
          <w:ilvl w:val="0"/>
          <w:numId w:val="4"/>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50C8976B"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3A65C953" w14:textId="77777777" w:rsidR="008826E3" w:rsidRDefault="008826E3" w:rsidP="008826E3">
      <w:pPr>
        <w:autoSpaceDE w:val="0"/>
        <w:autoSpaceDN w:val="0"/>
        <w:adjustRightInd w:val="0"/>
        <w:rPr>
          <w:rFonts w:eastAsia="Calibri"/>
          <w:sz w:val="20"/>
          <w:u w:val="single"/>
          <w:lang w:eastAsia="en-US"/>
        </w:rPr>
      </w:pPr>
    </w:p>
    <w:p w14:paraId="6DE94CBE"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(GDPR 20. cikk) </w:t>
      </w:r>
    </w:p>
    <w:p w14:paraId="2A31FBD4"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lastRenderedPageBreak/>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5A96AF95"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61DAD07A"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p>
    <w:p w14:paraId="227CC0FF" w14:textId="77777777" w:rsidR="008826E3" w:rsidRDefault="008826E3" w:rsidP="008826E3">
      <w:pPr>
        <w:pStyle w:val="Default"/>
        <w:ind w:left="360"/>
        <w:jc w:val="both"/>
        <w:rPr>
          <w:rFonts w:ascii="Times New Roman" w:hAnsi="Times New Roman" w:cs="Times New Roman"/>
          <w:sz w:val="20"/>
          <w:szCs w:val="20"/>
          <w:u w:val="single"/>
        </w:rPr>
      </w:pPr>
    </w:p>
    <w:p w14:paraId="2704C6F6"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(GDPR 21. cikk) </w:t>
      </w:r>
    </w:p>
    <w:p w14:paraId="7D519A6A"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3"/>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3E9DC68D" w14:textId="77777777" w:rsidR="008826E3" w:rsidRDefault="008826E3" w:rsidP="008826E3">
      <w:pPr>
        <w:ind w:left="142"/>
        <w:jc w:val="both"/>
        <w:rPr>
          <w:sz w:val="20"/>
        </w:rPr>
      </w:pPr>
    </w:p>
    <w:p w14:paraId="45D6D462"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(GDPR 22. cikk)</w:t>
      </w:r>
    </w:p>
    <w:p w14:paraId="5D9E802D"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24A8309E"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8826E3" w:rsidRPr="00904786" w14:paraId="431956A4" w14:textId="77777777" w:rsidTr="00F61510">
        <w:trPr>
          <w:tblCellSpacing w:w="0" w:type="dxa"/>
        </w:trPr>
        <w:tc>
          <w:tcPr>
            <w:tcW w:w="369" w:type="dxa"/>
          </w:tcPr>
          <w:p w14:paraId="635DD0F3" w14:textId="77777777" w:rsidR="008826E3" w:rsidRPr="00904786" w:rsidRDefault="008826E3" w:rsidP="00F61510">
            <w:pPr>
              <w:jc w:val="both"/>
              <w:rPr>
                <w:color w:val="000000"/>
                <w:sz w:val="20"/>
                <w:lang w:eastAsia="en-US"/>
              </w:rPr>
            </w:pPr>
            <w:r w:rsidRPr="00904786">
              <w:rPr>
                <w:color w:val="000000"/>
                <w:sz w:val="20"/>
                <w:lang w:eastAsia="en-US"/>
              </w:rPr>
              <w:t>a)</w:t>
            </w:r>
          </w:p>
        </w:tc>
        <w:tc>
          <w:tcPr>
            <w:tcW w:w="8872" w:type="dxa"/>
          </w:tcPr>
          <w:p w14:paraId="2125D2EB" w14:textId="77777777" w:rsidR="008826E3" w:rsidRPr="00904786" w:rsidRDefault="008826E3" w:rsidP="00F61510">
            <w:pPr>
              <w:jc w:val="both"/>
              <w:rPr>
                <w:color w:val="000000"/>
                <w:sz w:val="20"/>
                <w:lang w:eastAsia="en-US"/>
              </w:rPr>
            </w:pPr>
            <w:r w:rsidRPr="00904786">
              <w:rPr>
                <w:color w:val="000000"/>
                <w:sz w:val="20"/>
                <w:lang w:eastAsia="en-US"/>
              </w:rPr>
              <w:t>az érintett és az adatkezelő közötti szerződés megkötése vagy teljesítése érdekében szükséges;</w:t>
            </w:r>
          </w:p>
        </w:tc>
      </w:tr>
      <w:tr w:rsidR="008826E3" w:rsidRPr="00904786" w14:paraId="61411749" w14:textId="77777777" w:rsidTr="00F61510">
        <w:trPr>
          <w:tblCellSpacing w:w="0" w:type="dxa"/>
        </w:trPr>
        <w:tc>
          <w:tcPr>
            <w:tcW w:w="369" w:type="dxa"/>
          </w:tcPr>
          <w:p w14:paraId="3E1DA02E" w14:textId="77777777" w:rsidR="008826E3" w:rsidRPr="00904786" w:rsidRDefault="008826E3" w:rsidP="00F61510">
            <w:pPr>
              <w:jc w:val="both"/>
              <w:rPr>
                <w:color w:val="000000"/>
                <w:sz w:val="20"/>
                <w:lang w:eastAsia="en-US"/>
              </w:rPr>
            </w:pPr>
            <w:r w:rsidRPr="00904786">
              <w:rPr>
                <w:color w:val="000000"/>
                <w:sz w:val="20"/>
                <w:lang w:eastAsia="en-US"/>
              </w:rPr>
              <w:t>b)</w:t>
            </w:r>
          </w:p>
        </w:tc>
        <w:tc>
          <w:tcPr>
            <w:tcW w:w="8872" w:type="dxa"/>
          </w:tcPr>
          <w:p w14:paraId="1196CCF2" w14:textId="77777777" w:rsidR="008826E3" w:rsidRPr="00904786" w:rsidRDefault="008826E3" w:rsidP="00F61510">
            <w:pPr>
              <w:jc w:val="both"/>
              <w:rPr>
                <w:color w:val="000000"/>
                <w:sz w:val="20"/>
                <w:lang w:eastAsia="en-US"/>
              </w:rPr>
            </w:pPr>
            <w:r w:rsidRPr="00904786">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8826E3" w:rsidRPr="00904786" w14:paraId="6A850718" w14:textId="77777777" w:rsidTr="00F61510">
        <w:trPr>
          <w:tblCellSpacing w:w="0" w:type="dxa"/>
        </w:trPr>
        <w:tc>
          <w:tcPr>
            <w:tcW w:w="369" w:type="dxa"/>
          </w:tcPr>
          <w:p w14:paraId="19272E47" w14:textId="77777777" w:rsidR="008826E3" w:rsidRPr="00904786" w:rsidRDefault="008826E3" w:rsidP="00F61510">
            <w:pPr>
              <w:jc w:val="both"/>
              <w:rPr>
                <w:color w:val="000000"/>
                <w:sz w:val="20"/>
                <w:lang w:eastAsia="en-US"/>
              </w:rPr>
            </w:pPr>
            <w:r w:rsidRPr="00904786">
              <w:rPr>
                <w:color w:val="000000"/>
                <w:sz w:val="20"/>
                <w:lang w:eastAsia="en-US"/>
              </w:rPr>
              <w:t>c)</w:t>
            </w:r>
          </w:p>
        </w:tc>
        <w:tc>
          <w:tcPr>
            <w:tcW w:w="8872" w:type="dxa"/>
          </w:tcPr>
          <w:p w14:paraId="0F271CB5" w14:textId="77777777" w:rsidR="008826E3" w:rsidRPr="00904786" w:rsidRDefault="008826E3" w:rsidP="00F61510">
            <w:pPr>
              <w:jc w:val="both"/>
              <w:rPr>
                <w:color w:val="000000"/>
                <w:sz w:val="20"/>
                <w:lang w:eastAsia="en-US"/>
              </w:rPr>
            </w:pPr>
            <w:r w:rsidRPr="00904786">
              <w:rPr>
                <w:color w:val="000000"/>
                <w:sz w:val="20"/>
                <w:lang w:eastAsia="en-US"/>
              </w:rPr>
              <w:t>az érintett kifejezett hozzájárulásán alapul.</w:t>
            </w:r>
          </w:p>
        </w:tc>
      </w:tr>
    </w:tbl>
    <w:p w14:paraId="0C6E1E88"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7795EFB7" w14:textId="77777777" w:rsidR="008826E3" w:rsidRDefault="008826E3" w:rsidP="008826E3">
      <w:pPr>
        <w:pStyle w:val="NormlWeb"/>
        <w:spacing w:before="0" w:beforeAutospacing="0" w:after="0" w:afterAutospacing="0"/>
        <w:jc w:val="both"/>
        <w:rPr>
          <w:sz w:val="20"/>
          <w:szCs w:val="20"/>
        </w:rPr>
      </w:pPr>
    </w:p>
    <w:p w14:paraId="4E1A350B" w14:textId="77777777" w:rsidR="008826E3" w:rsidRDefault="008826E3" w:rsidP="008826E3">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5E71C0AF" w14:textId="77777777" w:rsidR="008826E3" w:rsidRDefault="008826E3" w:rsidP="008826E3">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4CF9E3AC" w14:textId="77777777" w:rsidR="008826E3" w:rsidRDefault="008826E3" w:rsidP="008826E3">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(GDPR 38-39. cikk)</w:t>
      </w:r>
    </w:p>
    <w:p w14:paraId="29A01F1E"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bek.). </w:t>
      </w:r>
    </w:p>
    <w:p w14:paraId="7ED68F5F" w14:textId="77777777" w:rsidR="008826E3" w:rsidRDefault="008826E3" w:rsidP="008826E3">
      <w:pPr>
        <w:pStyle w:val="Default"/>
        <w:ind w:left="284"/>
        <w:jc w:val="both"/>
        <w:rPr>
          <w:rFonts w:ascii="Times New Roman" w:hAnsi="Times New Roman" w:cs="Times New Roman"/>
          <w:sz w:val="20"/>
          <w:szCs w:val="20"/>
        </w:rPr>
      </w:pPr>
      <w:r>
        <w:rPr>
          <w:rFonts w:ascii="Times New Roman" w:hAnsi="Times New Roman" w:cs="Times New Roman"/>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bek.)</w:t>
      </w:r>
    </w:p>
    <w:p w14:paraId="79122944" w14:textId="77777777" w:rsidR="00AE07E9" w:rsidRPr="00A00D06" w:rsidRDefault="00AE07E9" w:rsidP="00AE07E9">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77. cikk, Infotv.</w:t>
      </w:r>
      <w:r w:rsidRPr="00A00D06">
        <w:rPr>
          <w:rStyle w:val="Lbjegyzet-hivatkozs"/>
          <w:sz w:val="20"/>
          <w:szCs w:val="20"/>
        </w:rPr>
        <w:footnoteReference w:id="4"/>
      </w:r>
      <w:r w:rsidRPr="00A00D06">
        <w:rPr>
          <w:sz w:val="20"/>
          <w:szCs w:val="20"/>
        </w:rPr>
        <w:t xml:space="preserve"> 51/A. (1) bekezdés, 52-54.§, 55.§ (1)-(2), 56-58. §,</w:t>
      </w:r>
      <w:r>
        <w:rPr>
          <w:sz w:val="20"/>
          <w:szCs w:val="20"/>
        </w:rPr>
        <w:t xml:space="preserve"> 60-61. §</w:t>
      </w:r>
      <w:r w:rsidRPr="00A00D06">
        <w:rPr>
          <w:sz w:val="20"/>
          <w:szCs w:val="20"/>
        </w:rPr>
        <w:t>)</w:t>
      </w:r>
    </w:p>
    <w:p w14:paraId="48C605A5" w14:textId="77777777" w:rsidR="00AE07E9" w:rsidRPr="00A00D06" w:rsidRDefault="00AE07E9" w:rsidP="00AE07E9">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6FD3732A" w14:textId="77777777" w:rsidR="00AE07E9" w:rsidRPr="00A00D06" w:rsidRDefault="00AE07E9" w:rsidP="00AE07E9">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Infotv. 53. §-a tartalmazza.</w:t>
      </w:r>
    </w:p>
    <w:p w14:paraId="1DF60580" w14:textId="77777777" w:rsidR="00AE07E9" w:rsidRPr="00A00D06" w:rsidRDefault="00AE07E9" w:rsidP="00AE07E9">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a vizsgálat költségeit a Hatóság előlegezi és viseli. Az eljárás lefolytatására vonatkozó részletes szabályokat az Infotv. 54.§, 55. § (1)-(2) bekezdése, 56-58. §-ai tartalmazzák.</w:t>
      </w:r>
    </w:p>
    <w:p w14:paraId="023DC111" w14:textId="77777777" w:rsidR="00AE07E9" w:rsidRPr="00A00D06" w:rsidRDefault="00AE07E9" w:rsidP="00AE07E9">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Infotv. 60-61. §-a alapján.</w:t>
      </w:r>
    </w:p>
    <w:p w14:paraId="24C3CB97" w14:textId="77777777" w:rsidR="008826E3" w:rsidRDefault="008826E3" w:rsidP="008826E3">
      <w:pPr>
        <w:pStyle w:val="NormlWeb"/>
        <w:spacing w:before="0" w:beforeAutospacing="0" w:after="0" w:afterAutospacing="0"/>
        <w:jc w:val="both"/>
        <w:rPr>
          <w:sz w:val="20"/>
          <w:szCs w:val="20"/>
          <w:u w:val="single"/>
        </w:rPr>
      </w:pPr>
      <w:r>
        <w:rPr>
          <w:sz w:val="20"/>
          <w:szCs w:val="20"/>
        </w:rPr>
        <w:t>10.3.</w:t>
      </w:r>
      <w:r>
        <w:rPr>
          <w:sz w:val="20"/>
          <w:szCs w:val="20"/>
          <w:u w:val="single"/>
        </w:rPr>
        <w:t>Bírósági jogérvényesítés (GDPR 79. cikk, Infotv. 23. §,)</w:t>
      </w:r>
    </w:p>
    <w:p w14:paraId="06661582"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 xml:space="preserve">Az érintett a jogainak megsértése esetén az adatkezelő ellen bírósághoz fordulhat, mivel minden érintett hatékony bírósági jogorvoslatra jogosult, ha megítélése szerint a személyes adatainak a GDPR-nak nem megfelelő kezelése következtében megsértették a GDPR-ban rögzített jogait (lásd.fent). </w:t>
      </w:r>
    </w:p>
    <w:p w14:paraId="1553D1CE"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4BA47A71"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lastRenderedPageBreak/>
        <w:t xml:space="preserve">Magyarországon a pert - az érintett választása szerint - az érintett lakóhelye vagy tartózkodási helye szerinti törvényszék előtt is megindíthatja. </w:t>
      </w:r>
    </w:p>
    <w:p w14:paraId="7FFA1A23" w14:textId="77777777" w:rsidR="008826E3" w:rsidRDefault="008826E3" w:rsidP="008826E3">
      <w:pPr>
        <w:pStyle w:val="Default"/>
        <w:ind w:left="284"/>
        <w:jc w:val="both"/>
        <w:rPr>
          <w:rFonts w:ascii="Times New Roman" w:hAnsi="Times New Roman" w:cs="Times New Roman"/>
          <w:sz w:val="20"/>
        </w:rPr>
      </w:pPr>
      <w:r>
        <w:rPr>
          <w:rFonts w:ascii="Times New Roman" w:hAnsi="Times New Roman" w:cs="Times New Roman"/>
          <w:sz w:val="20"/>
        </w:rPr>
        <w:t xml:space="preserve">Az érintett a perben kártérítést/sérelemdíjat követelhet az adatkezelőtől: </w:t>
      </w:r>
    </w:p>
    <w:p w14:paraId="38C9AFCB" w14:textId="77777777" w:rsidR="008826E3" w:rsidRDefault="008826E3" w:rsidP="008826E3">
      <w:pPr>
        <w:pStyle w:val="Default"/>
        <w:numPr>
          <w:ilvl w:val="0"/>
          <w:numId w:val="6"/>
        </w:numPr>
        <w:jc w:val="both"/>
        <w:rPr>
          <w:rFonts w:ascii="Times New Roman" w:hAnsi="Times New Roman" w:cs="Times New Roman"/>
          <w:sz w:val="20"/>
        </w:rPr>
      </w:pPr>
      <w:r>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2C69DAFC" w14:textId="77777777" w:rsidR="008826E3" w:rsidRDefault="008826E3" w:rsidP="008826E3">
      <w:pPr>
        <w:pStyle w:val="Default"/>
        <w:numPr>
          <w:ilvl w:val="0"/>
          <w:numId w:val="6"/>
        </w:numPr>
        <w:jc w:val="both"/>
        <w:rPr>
          <w:rFonts w:ascii="Times New Roman" w:hAnsi="Times New Roman" w:cs="Times New Roman"/>
          <w:sz w:val="20"/>
        </w:rPr>
      </w:pPr>
      <w:r>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7402C006" w14:textId="77777777" w:rsidR="008826E3" w:rsidRDefault="008826E3" w:rsidP="008826E3">
      <w:pPr>
        <w:rPr>
          <w:sz w:val="20"/>
        </w:rPr>
      </w:pPr>
    </w:p>
    <w:p w14:paraId="288D9526" w14:textId="77777777" w:rsidR="008826E3" w:rsidRDefault="008826E3" w:rsidP="008826E3"/>
    <w:p w14:paraId="5A9FAD18" w14:textId="77777777" w:rsidR="008826E3" w:rsidRDefault="008826E3" w:rsidP="008826E3">
      <w:pPr>
        <w:jc w:val="both"/>
      </w:pPr>
    </w:p>
    <w:p w14:paraId="3AC046D7" w14:textId="77777777" w:rsidR="008826E3" w:rsidRDefault="008826E3" w:rsidP="008826E3"/>
    <w:p w14:paraId="7D6A66C4" w14:textId="77777777" w:rsidR="008826E3" w:rsidRDefault="008826E3" w:rsidP="008826E3">
      <w:pPr>
        <w:jc w:val="both"/>
        <w:rPr>
          <w:sz w:val="22"/>
          <w:szCs w:val="22"/>
        </w:rPr>
      </w:pPr>
    </w:p>
    <w:p w14:paraId="17F08EF6" w14:textId="77777777" w:rsidR="00006528" w:rsidRDefault="00006528" w:rsidP="008826E3">
      <w:pPr>
        <w:jc w:val="both"/>
      </w:pPr>
    </w:p>
    <w:sectPr w:rsidR="00006528">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109B" w14:textId="77777777" w:rsidR="00441C2C" w:rsidRDefault="00441C2C">
      <w:r>
        <w:separator/>
      </w:r>
    </w:p>
  </w:endnote>
  <w:endnote w:type="continuationSeparator" w:id="0">
    <w:p w14:paraId="6F61908C" w14:textId="77777777" w:rsidR="00441C2C" w:rsidRDefault="0044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6AB7A" w14:textId="77777777" w:rsidR="00441C2C" w:rsidRDefault="00441C2C">
      <w:r>
        <w:separator/>
      </w:r>
    </w:p>
  </w:footnote>
  <w:footnote w:type="continuationSeparator" w:id="0">
    <w:p w14:paraId="56F1A1FE" w14:textId="77777777" w:rsidR="00441C2C" w:rsidRDefault="00441C2C">
      <w:r>
        <w:continuationSeparator/>
      </w:r>
    </w:p>
  </w:footnote>
  <w:footnote w:id="1">
    <w:p w14:paraId="74A57082" w14:textId="77777777" w:rsidR="00006528" w:rsidRDefault="008826E3">
      <w:pPr>
        <w:pStyle w:val="Lbjegyzetszveg"/>
      </w:pPr>
      <w:r>
        <w:rPr>
          <w:rStyle w:val="Lbjegyzet-hivatkozs"/>
        </w:rPr>
        <w:footnoteRef/>
      </w:r>
      <w:r>
        <w:t xml:space="preserve"> </w:t>
      </w:r>
      <w:r>
        <w:rPr>
          <w:sz w:val="18"/>
          <w:szCs w:val="18"/>
        </w:rPr>
        <w:t xml:space="preserve">címzett: </w:t>
      </w:r>
      <w:r>
        <w:rPr>
          <w:color w:val="000000"/>
          <w:sz w:val="18"/>
          <w:szCs w:val="18"/>
          <w:shd w:val="clear" w:color="auto" w:fill="FFFFFF"/>
        </w:rPr>
        <w:t>az a természetes vagy jogi személy, közhatalmi szerv, ügynökség vagy bármely egyéb szerv, akivel vagy amellyel a személyes adatot közlik. Azon közhatalmi szervek, amelyek egy egyedi vizsgálat keretében az uniós vagy a tagállami joggal összhangban férhetnek hozzá személyes adatokhoz, nem minősülnek címzettnek.</w:t>
      </w:r>
    </w:p>
  </w:footnote>
  <w:footnote w:id="2">
    <w:p w14:paraId="75F56409" w14:textId="77777777" w:rsidR="008826E3" w:rsidRDefault="008826E3" w:rsidP="008826E3">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3">
    <w:p w14:paraId="620BB0C4" w14:textId="77777777" w:rsidR="008826E3" w:rsidRDefault="008826E3" w:rsidP="008826E3">
      <w:pPr>
        <w:pStyle w:val="Lbjegyzetszveg"/>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4">
    <w:p w14:paraId="16245A2F" w14:textId="77777777" w:rsidR="00AE07E9" w:rsidRDefault="00AE07E9" w:rsidP="00AE07E9">
      <w:pPr>
        <w:pStyle w:val="Lbjegyzetszveg"/>
      </w:pPr>
      <w:r>
        <w:rPr>
          <w:rStyle w:val="Lbjegyzet-hivatkozs"/>
          <w:sz w:val="18"/>
          <w:szCs w:val="18"/>
        </w:rPr>
        <w:footnoteRef/>
      </w:r>
      <w:r>
        <w:t xml:space="preserve"> </w:t>
      </w:r>
      <w:r>
        <w:rPr>
          <w:color w:val="000000"/>
          <w:sz w:val="18"/>
          <w:szCs w:val="18"/>
        </w:rPr>
        <w:t>Infotv.: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D90"/>
    <w:multiLevelType w:val="multilevel"/>
    <w:tmpl w:val="0C152D90"/>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4"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6528"/>
    <w:rsid w:val="00006BC7"/>
    <w:rsid w:val="00077CF5"/>
    <w:rsid w:val="00082E8D"/>
    <w:rsid w:val="0009287E"/>
    <w:rsid w:val="000B13C3"/>
    <w:rsid w:val="000D5E2C"/>
    <w:rsid w:val="001233E5"/>
    <w:rsid w:val="00131311"/>
    <w:rsid w:val="00165CFB"/>
    <w:rsid w:val="00166D6E"/>
    <w:rsid w:val="001A6D68"/>
    <w:rsid w:val="001B362C"/>
    <w:rsid w:val="001B39F9"/>
    <w:rsid w:val="001D15B3"/>
    <w:rsid w:val="001D3E8A"/>
    <w:rsid w:val="001D495E"/>
    <w:rsid w:val="001E52BE"/>
    <w:rsid w:val="00201803"/>
    <w:rsid w:val="00204954"/>
    <w:rsid w:val="002155DC"/>
    <w:rsid w:val="00227DAF"/>
    <w:rsid w:val="00241ECB"/>
    <w:rsid w:val="0025145E"/>
    <w:rsid w:val="00261B26"/>
    <w:rsid w:val="002657C3"/>
    <w:rsid w:val="002C7A01"/>
    <w:rsid w:val="00326C44"/>
    <w:rsid w:val="00332423"/>
    <w:rsid w:val="00351F31"/>
    <w:rsid w:val="00377C24"/>
    <w:rsid w:val="0038397D"/>
    <w:rsid w:val="003C28E8"/>
    <w:rsid w:val="003D67D4"/>
    <w:rsid w:val="003D73CF"/>
    <w:rsid w:val="00404205"/>
    <w:rsid w:val="00413F9F"/>
    <w:rsid w:val="00417D04"/>
    <w:rsid w:val="00420958"/>
    <w:rsid w:val="00432B8C"/>
    <w:rsid w:val="00441C2C"/>
    <w:rsid w:val="00452E7F"/>
    <w:rsid w:val="00476E5D"/>
    <w:rsid w:val="00486643"/>
    <w:rsid w:val="00491034"/>
    <w:rsid w:val="004C06E4"/>
    <w:rsid w:val="00531E90"/>
    <w:rsid w:val="00550078"/>
    <w:rsid w:val="00557811"/>
    <w:rsid w:val="005622E1"/>
    <w:rsid w:val="00567CE3"/>
    <w:rsid w:val="00573558"/>
    <w:rsid w:val="005741FD"/>
    <w:rsid w:val="005A6DEA"/>
    <w:rsid w:val="005B4457"/>
    <w:rsid w:val="005C602C"/>
    <w:rsid w:val="005F15F2"/>
    <w:rsid w:val="0060185F"/>
    <w:rsid w:val="00606D68"/>
    <w:rsid w:val="006658D9"/>
    <w:rsid w:val="00683EE1"/>
    <w:rsid w:val="0069354F"/>
    <w:rsid w:val="00693E2B"/>
    <w:rsid w:val="006F6A32"/>
    <w:rsid w:val="00701865"/>
    <w:rsid w:val="00771704"/>
    <w:rsid w:val="0077371F"/>
    <w:rsid w:val="00776940"/>
    <w:rsid w:val="007A0819"/>
    <w:rsid w:val="007B7F3B"/>
    <w:rsid w:val="00806C1D"/>
    <w:rsid w:val="00823203"/>
    <w:rsid w:val="00852A70"/>
    <w:rsid w:val="00853F77"/>
    <w:rsid w:val="00855EE4"/>
    <w:rsid w:val="008826E3"/>
    <w:rsid w:val="0089169A"/>
    <w:rsid w:val="008A44E8"/>
    <w:rsid w:val="008B1145"/>
    <w:rsid w:val="008F7E6E"/>
    <w:rsid w:val="00911F7C"/>
    <w:rsid w:val="00967EE0"/>
    <w:rsid w:val="00980DBF"/>
    <w:rsid w:val="009B4891"/>
    <w:rsid w:val="00A1652B"/>
    <w:rsid w:val="00A2016E"/>
    <w:rsid w:val="00A25B74"/>
    <w:rsid w:val="00A2786E"/>
    <w:rsid w:val="00A33707"/>
    <w:rsid w:val="00A804CE"/>
    <w:rsid w:val="00AB21EB"/>
    <w:rsid w:val="00AD5306"/>
    <w:rsid w:val="00AE07E9"/>
    <w:rsid w:val="00AE1C58"/>
    <w:rsid w:val="00AE4099"/>
    <w:rsid w:val="00B001BA"/>
    <w:rsid w:val="00B25B3F"/>
    <w:rsid w:val="00B26CF2"/>
    <w:rsid w:val="00B3503F"/>
    <w:rsid w:val="00B57C3F"/>
    <w:rsid w:val="00B60013"/>
    <w:rsid w:val="00B666B6"/>
    <w:rsid w:val="00B6726D"/>
    <w:rsid w:val="00BA2676"/>
    <w:rsid w:val="00BB099E"/>
    <w:rsid w:val="00BB4A59"/>
    <w:rsid w:val="00BC19A7"/>
    <w:rsid w:val="00C02ACE"/>
    <w:rsid w:val="00C0471F"/>
    <w:rsid w:val="00C415E5"/>
    <w:rsid w:val="00C4202E"/>
    <w:rsid w:val="00C57110"/>
    <w:rsid w:val="00C6160D"/>
    <w:rsid w:val="00C74B8D"/>
    <w:rsid w:val="00CB3F56"/>
    <w:rsid w:val="00CD794A"/>
    <w:rsid w:val="00CE697B"/>
    <w:rsid w:val="00CF157D"/>
    <w:rsid w:val="00CF4162"/>
    <w:rsid w:val="00D41FAB"/>
    <w:rsid w:val="00D60D32"/>
    <w:rsid w:val="00D64AD4"/>
    <w:rsid w:val="00D673EF"/>
    <w:rsid w:val="00D8072A"/>
    <w:rsid w:val="00D867A3"/>
    <w:rsid w:val="00D871F3"/>
    <w:rsid w:val="00D90269"/>
    <w:rsid w:val="00D94194"/>
    <w:rsid w:val="00DB3042"/>
    <w:rsid w:val="00DC3FE8"/>
    <w:rsid w:val="00DC558C"/>
    <w:rsid w:val="00DE2B73"/>
    <w:rsid w:val="00DF6B0E"/>
    <w:rsid w:val="00E21CC3"/>
    <w:rsid w:val="00E457AF"/>
    <w:rsid w:val="00E57E54"/>
    <w:rsid w:val="00E650BA"/>
    <w:rsid w:val="00E72B1B"/>
    <w:rsid w:val="00E95AA9"/>
    <w:rsid w:val="00E962E5"/>
    <w:rsid w:val="00EB26F9"/>
    <w:rsid w:val="00EC1715"/>
    <w:rsid w:val="00EC24A2"/>
    <w:rsid w:val="00ED0207"/>
    <w:rsid w:val="00EF1C7F"/>
    <w:rsid w:val="00F01A2D"/>
    <w:rsid w:val="00F17FDE"/>
    <w:rsid w:val="00F71730"/>
    <w:rsid w:val="00F73624"/>
    <w:rsid w:val="00F93203"/>
    <w:rsid w:val="00F9656E"/>
    <w:rsid w:val="00FA339F"/>
    <w:rsid w:val="00FA6616"/>
    <w:rsid w:val="00FB0201"/>
    <w:rsid w:val="00FB0978"/>
    <w:rsid w:val="00FB19BC"/>
    <w:rsid w:val="00FC50AF"/>
    <w:rsid w:val="00FC57DB"/>
    <w:rsid w:val="00FE13E6"/>
    <w:rsid w:val="00FF2798"/>
    <w:rsid w:val="229369F8"/>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DE59"/>
  <w15:docId w15:val="{BCAFA68B-7690-4489-8B60-3D8EA4CC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paragraph" w:styleId="Jegyzetszveg">
    <w:name w:val="annotation text"/>
    <w:basedOn w:val="Norml"/>
    <w:link w:val="JegyzetszvegChar"/>
    <w:uiPriority w:val="99"/>
    <w:semiHidden/>
    <w:unhideWhenUsed/>
    <w:rPr>
      <w:sz w:val="20"/>
    </w:rPr>
  </w:style>
  <w:style w:type="paragraph" w:styleId="Megjegyzstrgya">
    <w:name w:val="annotation subject"/>
    <w:basedOn w:val="Jegyzetszveg"/>
    <w:next w:val="Jegyzetszveg"/>
    <w:link w:val="MegjegyzstrgyaChar"/>
    <w:uiPriority w:val="99"/>
    <w:semiHidden/>
    <w:unhideWhenUsed/>
    <w:rPr>
      <w:b/>
      <w:bCs/>
    </w:rPr>
  </w:style>
  <w:style w:type="paragraph" w:styleId="Lbjegyzetszveg">
    <w:name w:val="footnote text"/>
    <w:basedOn w:val="Norml"/>
    <w:link w:val="LbjegyzetszvegChar"/>
    <w:uiPriority w:val="99"/>
    <w:semiHidden/>
    <w:rPr>
      <w:sz w:val="20"/>
    </w:rPr>
  </w:style>
  <w:style w:type="paragraph" w:styleId="NormlWeb">
    <w:name w:val="Normal (Web)"/>
    <w:basedOn w:val="Norml"/>
    <w:uiPriority w:val="99"/>
    <w:qFormat/>
    <w:pPr>
      <w:spacing w:before="100" w:beforeAutospacing="1" w:after="100" w:afterAutospacing="1"/>
    </w:pPr>
    <w:rPr>
      <w:szCs w:val="24"/>
    </w:rPr>
  </w:style>
  <w:style w:type="character" w:styleId="Jegyzethivatkozs">
    <w:name w:val="annotation reference"/>
    <w:basedOn w:val="Bekezdsalapbettpusa"/>
    <w:uiPriority w:val="99"/>
    <w:semiHidden/>
    <w:unhideWhenUsed/>
    <w:qFormat/>
    <w:rPr>
      <w:sz w:val="16"/>
      <w:szCs w:val="16"/>
    </w:rPr>
  </w:style>
  <w:style w:type="character" w:styleId="Lbjegyzet-hivatkozs">
    <w:name w:val="footnote reference"/>
    <w:uiPriority w:val="99"/>
    <w:semiHidden/>
    <w:rPr>
      <w:vertAlign w:val="superscript"/>
    </w:rPr>
  </w:style>
  <w:style w:type="character" w:styleId="Hiperhivatkozs">
    <w:name w:val="Hyperlink"/>
    <w:uiPriority w:val="99"/>
    <w:rPr>
      <w:color w:val="006600"/>
      <w:u w:val="single"/>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semiHidden/>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lang w:eastAsia="hu-HU"/>
    </w:rPr>
  </w:style>
  <w:style w:type="paragraph" w:customStyle="1" w:styleId="Norml1">
    <w:name w:val="Normál1"/>
    <w:basedOn w:val="Norml"/>
    <w:pPr>
      <w:spacing w:before="100" w:beforeAutospacing="1" w:after="100" w:afterAutospacing="1"/>
    </w:pPr>
    <w:rPr>
      <w:szCs w:val="24"/>
    </w:rPr>
  </w:style>
  <w:style w:type="paragraph" w:customStyle="1" w:styleId="Vltozat1">
    <w:name w:val="Változat1"/>
    <w:hidden/>
    <w:uiPriority w:val="99"/>
    <w:semiHidden/>
    <w:rPr>
      <w:rFonts w:ascii="Times New Roman" w:eastAsia="Times New Roman" w:hAnsi="Times New Roman" w:cs="Times New Roman"/>
      <w:sz w:val="24"/>
    </w:rPr>
  </w:style>
  <w:style w:type="paragraph" w:styleId="Cm">
    <w:name w:val="Title"/>
    <w:basedOn w:val="Norml"/>
    <w:next w:val="Norml"/>
    <w:link w:val="CmChar"/>
    <w:uiPriority w:val="10"/>
    <w:qFormat/>
    <w:rsid w:val="00B57C3F"/>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57C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503A3-0420-4A28-B0D7-9CD0C870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2130</Words>
  <Characters>14700</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Bőhm Sára Vanda</cp:lastModifiedBy>
  <cp:revision>6</cp:revision>
  <dcterms:created xsi:type="dcterms:W3CDTF">2022-10-11T09:48:00Z</dcterms:created>
  <dcterms:modified xsi:type="dcterms:W3CDTF">2022-10-12T17:34:00Z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